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36" w:type="dxa"/>
        <w:tblLook w:val="04A0" w:firstRow="1" w:lastRow="0" w:firstColumn="1" w:lastColumn="0" w:noHBand="0" w:noVBand="1"/>
      </w:tblPr>
      <w:tblGrid>
        <w:gridCol w:w="2888"/>
        <w:gridCol w:w="3061"/>
        <w:gridCol w:w="4536"/>
        <w:gridCol w:w="4515"/>
        <w:gridCol w:w="236"/>
      </w:tblGrid>
      <w:tr w:rsidR="00D74B03" w14:paraId="459BC451" w14:textId="77777777" w:rsidTr="00905891">
        <w:tc>
          <w:tcPr>
            <w:tcW w:w="2888" w:type="dxa"/>
          </w:tcPr>
          <w:p w14:paraId="7388620E" w14:textId="289EF718" w:rsidR="00D74B03" w:rsidRPr="00D74B03" w:rsidRDefault="00D74B03">
            <w:pPr>
              <w:rPr>
                <w:b/>
                <w:bCs/>
                <w:sz w:val="24"/>
                <w:szCs w:val="24"/>
              </w:rPr>
            </w:pPr>
            <w:r w:rsidRPr="00D74B03">
              <w:rPr>
                <w:b/>
                <w:bCs/>
                <w:sz w:val="24"/>
                <w:szCs w:val="24"/>
              </w:rPr>
              <w:t xml:space="preserve">Likestillingsredegjørelse for </w:t>
            </w:r>
            <w:proofErr w:type="spellStart"/>
            <w:r w:rsidRPr="00D74B03">
              <w:rPr>
                <w:b/>
                <w:bCs/>
                <w:sz w:val="24"/>
                <w:szCs w:val="24"/>
              </w:rPr>
              <w:t>NCC`s</w:t>
            </w:r>
            <w:proofErr w:type="spellEnd"/>
            <w:r w:rsidRPr="00D74B03">
              <w:rPr>
                <w:b/>
                <w:bCs/>
                <w:sz w:val="24"/>
                <w:szCs w:val="24"/>
              </w:rPr>
              <w:t xml:space="preserve"> norske virksomheter</w:t>
            </w:r>
          </w:p>
        </w:tc>
        <w:tc>
          <w:tcPr>
            <w:tcW w:w="3061" w:type="dxa"/>
          </w:tcPr>
          <w:p w14:paraId="5C85C01A" w14:textId="77777777" w:rsidR="00FC6A69" w:rsidRDefault="00FC6A69" w:rsidP="00FC6A69">
            <w:pPr>
              <w:jc w:val="center"/>
              <w:rPr>
                <w:sz w:val="20"/>
                <w:szCs w:val="20"/>
              </w:rPr>
            </w:pPr>
          </w:p>
          <w:p w14:paraId="5226B34A" w14:textId="08F5E603" w:rsidR="00D74B03" w:rsidRPr="00905891" w:rsidRDefault="00FC6A69" w:rsidP="00FC6A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05891">
              <w:rPr>
                <w:b/>
                <w:bCs/>
                <w:i/>
                <w:iCs/>
                <w:sz w:val="20"/>
                <w:szCs w:val="20"/>
              </w:rPr>
              <w:t>Kartlagte risiko-områder</w:t>
            </w:r>
          </w:p>
        </w:tc>
        <w:tc>
          <w:tcPr>
            <w:tcW w:w="4536" w:type="dxa"/>
          </w:tcPr>
          <w:p w14:paraId="75E3588C" w14:textId="77777777" w:rsidR="00FC6A69" w:rsidRDefault="00FC6A69" w:rsidP="00FC6A69">
            <w:pPr>
              <w:jc w:val="center"/>
            </w:pPr>
          </w:p>
          <w:p w14:paraId="31B8EFA1" w14:textId="575F1632" w:rsidR="00D74B03" w:rsidRPr="00905891" w:rsidRDefault="00FC6A69" w:rsidP="00FC6A69">
            <w:pPr>
              <w:jc w:val="center"/>
              <w:rPr>
                <w:b/>
                <w:bCs/>
                <w:i/>
                <w:iCs/>
              </w:rPr>
            </w:pPr>
            <w:r w:rsidRPr="00905891">
              <w:rPr>
                <w:b/>
                <w:bCs/>
                <w:i/>
                <w:iCs/>
              </w:rPr>
              <w:t>Tiltak satt i gang for å redusere risiko</w:t>
            </w:r>
          </w:p>
        </w:tc>
        <w:tc>
          <w:tcPr>
            <w:tcW w:w="4515" w:type="dxa"/>
          </w:tcPr>
          <w:p w14:paraId="57E4C568" w14:textId="77777777" w:rsidR="0084385E" w:rsidRDefault="0084385E" w:rsidP="0084385E">
            <w:pPr>
              <w:jc w:val="center"/>
            </w:pPr>
          </w:p>
          <w:p w14:paraId="1ECDD3D9" w14:textId="4E9F7F55" w:rsidR="00D74B03" w:rsidRPr="00905891" w:rsidRDefault="0084385E" w:rsidP="008438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05891">
              <w:rPr>
                <w:b/>
                <w:bCs/>
                <w:i/>
                <w:iCs/>
                <w:sz w:val="20"/>
                <w:szCs w:val="20"/>
              </w:rPr>
              <w:t>Resultat og forventinger</w:t>
            </w:r>
          </w:p>
        </w:tc>
        <w:tc>
          <w:tcPr>
            <w:tcW w:w="236" w:type="dxa"/>
          </w:tcPr>
          <w:p w14:paraId="5944F5EF" w14:textId="77777777" w:rsidR="00D74B03" w:rsidRDefault="00D74B03"/>
        </w:tc>
      </w:tr>
      <w:tr w:rsidR="00D74B03" w:rsidRPr="003B6117" w14:paraId="487DF5AB" w14:textId="77777777" w:rsidTr="00905891">
        <w:tc>
          <w:tcPr>
            <w:tcW w:w="2888" w:type="dxa"/>
          </w:tcPr>
          <w:p w14:paraId="7E7062AF" w14:textId="591B6593" w:rsidR="00D74B03" w:rsidRDefault="00D74B03">
            <w:pPr>
              <w:rPr>
                <w:b/>
                <w:bCs/>
              </w:rPr>
            </w:pPr>
            <w:r w:rsidRPr="00D74B03">
              <w:rPr>
                <w:b/>
                <w:bCs/>
              </w:rPr>
              <w:t>Aktivitetsplikten</w:t>
            </w:r>
          </w:p>
          <w:p w14:paraId="30BF34BD" w14:textId="77777777" w:rsidR="00D74B03" w:rsidRDefault="00D74B03">
            <w:pPr>
              <w:rPr>
                <w:b/>
                <w:bCs/>
              </w:rPr>
            </w:pPr>
          </w:p>
          <w:p w14:paraId="4E2CD22F" w14:textId="4A2E6C49" w:rsidR="00D74B03" w:rsidRPr="002862B7" w:rsidRDefault="00D74B03">
            <w:pPr>
              <w:rPr>
                <w:i/>
                <w:iCs/>
                <w:sz w:val="18"/>
                <w:szCs w:val="18"/>
              </w:rPr>
            </w:pPr>
            <w:r w:rsidRPr="002862B7">
              <w:rPr>
                <w:i/>
                <w:iCs/>
                <w:sz w:val="18"/>
                <w:szCs w:val="18"/>
              </w:rPr>
              <w:t>I arbeidet med å kartlegge risiko for diskriminering og andre hindre for likestilling</w:t>
            </w:r>
            <w:r w:rsidR="00A07B95">
              <w:rPr>
                <w:i/>
                <w:iCs/>
                <w:sz w:val="18"/>
                <w:szCs w:val="18"/>
              </w:rPr>
              <w:t>,</w:t>
            </w:r>
            <w:r w:rsidRPr="002862B7">
              <w:rPr>
                <w:i/>
                <w:iCs/>
                <w:sz w:val="18"/>
                <w:szCs w:val="18"/>
              </w:rPr>
              <w:t xml:space="preserve"> har NCC jobbet med å kartlegge </w:t>
            </w:r>
            <w:r w:rsidR="00A07B95">
              <w:rPr>
                <w:i/>
                <w:iCs/>
                <w:sz w:val="18"/>
                <w:szCs w:val="18"/>
              </w:rPr>
              <w:t>risiko-</w:t>
            </w:r>
            <w:r w:rsidRPr="002862B7">
              <w:rPr>
                <w:i/>
                <w:iCs/>
                <w:sz w:val="18"/>
                <w:szCs w:val="18"/>
              </w:rPr>
              <w:t xml:space="preserve"> områder. Det er iverksatt tiltak for å motvirke risiko på utvalgte områder og i 202</w:t>
            </w:r>
            <w:r w:rsidR="00E566A4">
              <w:rPr>
                <w:i/>
                <w:iCs/>
                <w:sz w:val="18"/>
                <w:szCs w:val="18"/>
              </w:rPr>
              <w:t>5</w:t>
            </w:r>
            <w:r w:rsidRPr="002862B7">
              <w:rPr>
                <w:i/>
                <w:iCs/>
                <w:sz w:val="18"/>
                <w:szCs w:val="18"/>
              </w:rPr>
              <w:t xml:space="preserve"> har </w:t>
            </w:r>
            <w:proofErr w:type="gramStart"/>
            <w:r w:rsidRPr="002862B7">
              <w:rPr>
                <w:i/>
                <w:iCs/>
                <w:sz w:val="18"/>
                <w:szCs w:val="18"/>
              </w:rPr>
              <w:t>implementering</w:t>
            </w:r>
            <w:proofErr w:type="gramEnd"/>
            <w:r w:rsidRPr="002862B7">
              <w:rPr>
                <w:i/>
                <w:iCs/>
                <w:sz w:val="18"/>
                <w:szCs w:val="18"/>
              </w:rPr>
              <w:t xml:space="preserve"> av </w:t>
            </w:r>
            <w:r w:rsidR="007105AF" w:rsidRPr="002862B7">
              <w:rPr>
                <w:i/>
                <w:iCs/>
                <w:sz w:val="18"/>
                <w:szCs w:val="18"/>
              </w:rPr>
              <w:t xml:space="preserve">tiltakene </w:t>
            </w:r>
            <w:r w:rsidR="00A07B95" w:rsidRPr="002862B7">
              <w:rPr>
                <w:i/>
                <w:iCs/>
                <w:sz w:val="18"/>
                <w:szCs w:val="18"/>
              </w:rPr>
              <w:t>fortsatt,</w:t>
            </w:r>
            <w:r w:rsidRPr="002862B7">
              <w:rPr>
                <w:i/>
                <w:iCs/>
                <w:sz w:val="18"/>
                <w:szCs w:val="18"/>
              </w:rPr>
              <w:t xml:space="preserve"> sammen med nye </w:t>
            </w:r>
            <w:r w:rsidR="007105AF" w:rsidRPr="002862B7">
              <w:rPr>
                <w:i/>
                <w:iCs/>
                <w:sz w:val="18"/>
                <w:szCs w:val="18"/>
              </w:rPr>
              <w:t>initiativer</w:t>
            </w:r>
            <w:r w:rsidRPr="002862B7">
              <w:rPr>
                <w:i/>
                <w:iCs/>
                <w:sz w:val="18"/>
                <w:szCs w:val="18"/>
              </w:rPr>
              <w:t xml:space="preserve">. </w:t>
            </w:r>
            <w:r w:rsidR="007105AF" w:rsidRPr="002862B7">
              <w:rPr>
                <w:i/>
                <w:iCs/>
                <w:sz w:val="18"/>
                <w:szCs w:val="18"/>
              </w:rPr>
              <w:t xml:space="preserve">Det erkjennes at </w:t>
            </w:r>
            <w:r w:rsidR="00A07B95">
              <w:rPr>
                <w:i/>
                <w:iCs/>
                <w:sz w:val="18"/>
                <w:szCs w:val="18"/>
              </w:rPr>
              <w:t xml:space="preserve">det </w:t>
            </w:r>
            <w:r w:rsidR="007105AF" w:rsidRPr="002862B7">
              <w:rPr>
                <w:i/>
                <w:iCs/>
                <w:sz w:val="18"/>
                <w:szCs w:val="18"/>
              </w:rPr>
              <w:t>fortsatt kreves langsiktig og målrettede arbeid</w:t>
            </w:r>
            <w:r w:rsidR="00A07B95">
              <w:rPr>
                <w:i/>
                <w:iCs/>
                <w:sz w:val="18"/>
                <w:szCs w:val="18"/>
              </w:rPr>
              <w:t xml:space="preserve"> sammen med tillitsvalgte</w:t>
            </w:r>
            <w:r w:rsidR="007105AF" w:rsidRPr="002862B7">
              <w:rPr>
                <w:i/>
                <w:iCs/>
                <w:sz w:val="18"/>
                <w:szCs w:val="18"/>
              </w:rPr>
              <w:t xml:space="preserve"> der tiltakene jevnlig må analyseres og forbedres.</w:t>
            </w:r>
          </w:p>
          <w:p w14:paraId="2435B08C" w14:textId="77777777" w:rsidR="00D74B03" w:rsidRPr="002862B7" w:rsidRDefault="00D74B03">
            <w:pPr>
              <w:rPr>
                <w:i/>
                <w:iCs/>
              </w:rPr>
            </w:pPr>
          </w:p>
          <w:p w14:paraId="12065AEC" w14:textId="77777777" w:rsidR="000A23EE" w:rsidRDefault="000A23EE">
            <w:pPr>
              <w:rPr>
                <w:i/>
                <w:iCs/>
                <w:sz w:val="18"/>
                <w:szCs w:val="18"/>
              </w:rPr>
            </w:pPr>
          </w:p>
          <w:p w14:paraId="469FC3C2" w14:textId="77777777" w:rsidR="000A23EE" w:rsidRDefault="000A23EE">
            <w:pPr>
              <w:rPr>
                <w:i/>
                <w:iCs/>
                <w:sz w:val="18"/>
                <w:szCs w:val="18"/>
              </w:rPr>
            </w:pPr>
          </w:p>
          <w:p w14:paraId="168C030C" w14:textId="77777777" w:rsidR="000A23EE" w:rsidRDefault="000A23EE">
            <w:pPr>
              <w:rPr>
                <w:i/>
                <w:iCs/>
                <w:sz w:val="18"/>
                <w:szCs w:val="18"/>
              </w:rPr>
            </w:pPr>
          </w:p>
          <w:p w14:paraId="68224260" w14:textId="77777777" w:rsidR="000A23EE" w:rsidRDefault="000A23EE">
            <w:pPr>
              <w:rPr>
                <w:i/>
                <w:iCs/>
                <w:sz w:val="18"/>
                <w:szCs w:val="18"/>
              </w:rPr>
            </w:pPr>
          </w:p>
          <w:p w14:paraId="70ADD11D" w14:textId="71D03D95" w:rsidR="007105AF" w:rsidRPr="002862B7" w:rsidRDefault="007105AF">
            <w:pPr>
              <w:rPr>
                <w:i/>
                <w:iCs/>
                <w:sz w:val="18"/>
                <w:szCs w:val="18"/>
              </w:rPr>
            </w:pPr>
            <w:r w:rsidRPr="002862B7">
              <w:rPr>
                <w:i/>
                <w:iCs/>
                <w:sz w:val="18"/>
                <w:szCs w:val="18"/>
              </w:rPr>
              <w:t xml:space="preserve">Det gjenstår fortsatt et arbeid med å kartlegge risiko for diskriminering og </w:t>
            </w:r>
            <w:r w:rsidR="00817D30" w:rsidRPr="002862B7">
              <w:rPr>
                <w:i/>
                <w:iCs/>
                <w:sz w:val="18"/>
                <w:szCs w:val="18"/>
              </w:rPr>
              <w:t>indentifisere</w:t>
            </w:r>
            <w:r w:rsidRPr="002862B7">
              <w:rPr>
                <w:i/>
                <w:iCs/>
                <w:sz w:val="18"/>
                <w:szCs w:val="18"/>
              </w:rPr>
              <w:t xml:space="preserve"> hinder for likestilling. NCC prioriterer arbeidet for en jevnere kjønnsbalanse, men er samtidig klar over andre årsaker til </w:t>
            </w:r>
            <w:r w:rsidR="00817D30" w:rsidRPr="002862B7">
              <w:rPr>
                <w:i/>
                <w:iCs/>
                <w:sz w:val="18"/>
                <w:szCs w:val="18"/>
              </w:rPr>
              <w:t>diskriminering.</w:t>
            </w:r>
            <w:r w:rsidRPr="002862B7">
              <w:rPr>
                <w:i/>
                <w:iCs/>
                <w:sz w:val="18"/>
                <w:szCs w:val="18"/>
              </w:rPr>
              <w:t xml:space="preserve"> Sammen med tillitsvalgte fortsette arbeidet med å kartlegge utfordringer og iverksette tiltak for å redusere risiko for diskriminering for alle grupper </w:t>
            </w:r>
          </w:p>
          <w:p w14:paraId="03C71FE3" w14:textId="6B7B90EC" w:rsidR="00D74B03" w:rsidRDefault="00D74B03"/>
        </w:tc>
        <w:tc>
          <w:tcPr>
            <w:tcW w:w="3061" w:type="dxa"/>
          </w:tcPr>
          <w:p w14:paraId="59B880EE" w14:textId="77777777" w:rsidR="00D74B03" w:rsidRDefault="00D74B03"/>
          <w:p w14:paraId="513BBEF9" w14:textId="77777777" w:rsidR="00905891" w:rsidRDefault="00905891" w:rsidP="00905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747FC6B" w14:textId="77777777" w:rsidR="00905891" w:rsidRDefault="00905891" w:rsidP="00905891">
            <w:pPr>
              <w:rPr>
                <w:sz w:val="18"/>
                <w:szCs w:val="18"/>
              </w:rPr>
            </w:pPr>
          </w:p>
          <w:p w14:paraId="0AE49348" w14:textId="10CDCF50" w:rsidR="00905891" w:rsidRPr="0010370D" w:rsidRDefault="00CA24CA" w:rsidP="00905891">
            <w:pPr>
              <w:rPr>
                <w:b/>
                <w:bCs/>
                <w:sz w:val="18"/>
                <w:szCs w:val="18"/>
              </w:rPr>
            </w:pPr>
            <w:r w:rsidRPr="0010370D">
              <w:rPr>
                <w:b/>
                <w:bCs/>
                <w:sz w:val="18"/>
                <w:szCs w:val="18"/>
              </w:rPr>
              <w:t xml:space="preserve">A: </w:t>
            </w:r>
            <w:r w:rsidR="00905891" w:rsidRPr="0010370D">
              <w:rPr>
                <w:b/>
                <w:bCs/>
                <w:sz w:val="18"/>
                <w:szCs w:val="18"/>
              </w:rPr>
              <w:t xml:space="preserve">Prosesser knyttet til </w:t>
            </w:r>
            <w:r w:rsidR="00817D30" w:rsidRPr="0010370D">
              <w:rPr>
                <w:b/>
                <w:bCs/>
                <w:sz w:val="18"/>
                <w:szCs w:val="18"/>
              </w:rPr>
              <w:t>rekruttering,</w:t>
            </w:r>
            <w:r w:rsidR="00905891" w:rsidRPr="0010370D">
              <w:rPr>
                <w:b/>
                <w:bCs/>
                <w:sz w:val="18"/>
                <w:szCs w:val="18"/>
              </w:rPr>
              <w:t xml:space="preserve"> utvikling og belønning samt utøvelse og forståelsen av disse.</w:t>
            </w:r>
          </w:p>
          <w:p w14:paraId="6B5F1F54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68783785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2641A955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554AAA38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0896606D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298C90ED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7C88E106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332CA06C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42B43FBD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0B09B7A1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4F3E444A" w14:textId="77777777" w:rsidR="00CA24CA" w:rsidRDefault="00CA24CA" w:rsidP="00905891">
            <w:pPr>
              <w:rPr>
                <w:sz w:val="18"/>
                <w:szCs w:val="18"/>
              </w:rPr>
            </w:pPr>
          </w:p>
          <w:p w14:paraId="2E81A26B" w14:textId="64911F98" w:rsidR="00CA24CA" w:rsidRDefault="00CA24CA" w:rsidP="00905891">
            <w:pPr>
              <w:rPr>
                <w:b/>
                <w:bCs/>
                <w:sz w:val="18"/>
                <w:szCs w:val="18"/>
              </w:rPr>
            </w:pPr>
            <w:r w:rsidRPr="0010370D">
              <w:rPr>
                <w:b/>
                <w:bCs/>
                <w:sz w:val="18"/>
                <w:szCs w:val="18"/>
              </w:rPr>
              <w:t xml:space="preserve">B: En mannsdominert kultur der det forekommer trakassering, diskriminering og vold mot kvinner og andre minoriteter </w:t>
            </w:r>
            <w:proofErr w:type="gramStart"/>
            <w:r w:rsidRPr="0010370D">
              <w:rPr>
                <w:b/>
                <w:bCs/>
                <w:sz w:val="18"/>
                <w:szCs w:val="18"/>
              </w:rPr>
              <w:t>( for</w:t>
            </w:r>
            <w:proofErr w:type="gramEnd"/>
            <w:r w:rsidRPr="0010370D">
              <w:rPr>
                <w:b/>
                <w:bCs/>
                <w:sz w:val="18"/>
                <w:szCs w:val="18"/>
              </w:rPr>
              <w:t xml:space="preserve"> eksempel </w:t>
            </w:r>
            <w:r w:rsidR="0010370D" w:rsidRPr="0010370D">
              <w:rPr>
                <w:b/>
                <w:bCs/>
                <w:sz w:val="18"/>
                <w:szCs w:val="18"/>
              </w:rPr>
              <w:t xml:space="preserve">som følge av seksuell </w:t>
            </w:r>
            <w:r w:rsidR="0035083E" w:rsidRPr="0010370D">
              <w:rPr>
                <w:b/>
                <w:bCs/>
                <w:sz w:val="18"/>
                <w:szCs w:val="18"/>
              </w:rPr>
              <w:t>trakassering</w:t>
            </w:r>
            <w:r w:rsidR="0010370D" w:rsidRPr="0010370D">
              <w:rPr>
                <w:b/>
                <w:bCs/>
                <w:sz w:val="18"/>
                <w:szCs w:val="18"/>
              </w:rPr>
              <w:t xml:space="preserve">, kjønnsidentitet og </w:t>
            </w:r>
            <w:r w:rsidR="0035083E" w:rsidRPr="0010370D">
              <w:rPr>
                <w:b/>
                <w:bCs/>
                <w:sz w:val="18"/>
                <w:szCs w:val="18"/>
              </w:rPr>
              <w:t>kjønnsuttrykk</w:t>
            </w:r>
            <w:r w:rsidR="0010370D" w:rsidRPr="0010370D">
              <w:rPr>
                <w:b/>
                <w:bCs/>
                <w:sz w:val="18"/>
                <w:szCs w:val="18"/>
              </w:rPr>
              <w:t xml:space="preserve">) </w:t>
            </w:r>
          </w:p>
          <w:p w14:paraId="552F9CCE" w14:textId="77777777" w:rsidR="0010370D" w:rsidRDefault="0010370D" w:rsidP="00905891">
            <w:pPr>
              <w:rPr>
                <w:b/>
                <w:bCs/>
                <w:sz w:val="18"/>
                <w:szCs w:val="18"/>
              </w:rPr>
            </w:pPr>
          </w:p>
          <w:p w14:paraId="64FA061A" w14:textId="77777777" w:rsidR="0010370D" w:rsidRDefault="0010370D" w:rsidP="00905891">
            <w:pPr>
              <w:rPr>
                <w:b/>
                <w:bCs/>
                <w:sz w:val="18"/>
                <w:szCs w:val="18"/>
              </w:rPr>
            </w:pPr>
          </w:p>
          <w:p w14:paraId="748139FA" w14:textId="50D2E7A5" w:rsidR="0010370D" w:rsidRDefault="0010370D" w:rsidP="009058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C: Bygg- og anleggsbransjen er </w:t>
            </w:r>
            <w:r w:rsidR="0035083E">
              <w:rPr>
                <w:b/>
                <w:bCs/>
                <w:sz w:val="18"/>
                <w:szCs w:val="18"/>
              </w:rPr>
              <w:t>mannsdominert,</w:t>
            </w:r>
            <w:r>
              <w:rPr>
                <w:b/>
                <w:bCs/>
                <w:sz w:val="18"/>
                <w:szCs w:val="18"/>
              </w:rPr>
              <w:t xml:space="preserve"> og medieoppslag kan gjøre det </w:t>
            </w:r>
            <w:r w:rsidR="0035083E">
              <w:rPr>
                <w:b/>
                <w:bCs/>
                <w:sz w:val="18"/>
                <w:szCs w:val="18"/>
              </w:rPr>
              <w:t>mindre</w:t>
            </w:r>
            <w:r>
              <w:rPr>
                <w:b/>
                <w:bCs/>
                <w:sz w:val="18"/>
                <w:szCs w:val="18"/>
              </w:rPr>
              <w:t xml:space="preserve"> attraktivt </w:t>
            </w:r>
            <w:r w:rsidR="002862B7">
              <w:rPr>
                <w:b/>
                <w:bCs/>
                <w:sz w:val="18"/>
                <w:szCs w:val="18"/>
              </w:rPr>
              <w:t>for kvinner å jobbe i bygg – og anlegg</w:t>
            </w:r>
          </w:p>
          <w:p w14:paraId="5F085169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66D5C360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0E0C5F43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604A6195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16E62D03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583FF8F2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D: For personer med funksjonsnedsettelse er det vanskeligere å få innpass i en bransje der arbeid utføres på byggeplass</w:t>
            </w:r>
          </w:p>
          <w:p w14:paraId="54DFE4EB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2C14B8ED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557FB9F8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5C603DDB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5E2BEAFF" w14:textId="77777777" w:rsidR="00704C8C" w:rsidRDefault="00704C8C" w:rsidP="00905891">
            <w:pPr>
              <w:rPr>
                <w:b/>
                <w:bCs/>
                <w:sz w:val="18"/>
                <w:szCs w:val="18"/>
              </w:rPr>
            </w:pPr>
          </w:p>
          <w:p w14:paraId="7168D0C9" w14:textId="6A341E8B" w:rsidR="00704C8C" w:rsidRDefault="003561A4" w:rsidP="009058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E: Andre</w:t>
            </w:r>
            <w:r w:rsidR="000A23EE">
              <w:rPr>
                <w:b/>
                <w:bCs/>
                <w:sz w:val="18"/>
                <w:szCs w:val="18"/>
              </w:rPr>
              <w:t xml:space="preserve"> forhold som for eksempel at stillingstitler ikke er </w:t>
            </w:r>
            <w:r w:rsidR="00260F7A">
              <w:rPr>
                <w:b/>
                <w:bCs/>
                <w:sz w:val="18"/>
                <w:szCs w:val="18"/>
              </w:rPr>
              <w:t>kjønnsnøytrale,</w:t>
            </w:r>
            <w:r w:rsidR="000A23EE">
              <w:rPr>
                <w:b/>
                <w:bCs/>
                <w:sz w:val="18"/>
                <w:szCs w:val="18"/>
              </w:rPr>
              <w:t xml:space="preserve"> eller behov for fysisk tilrettelegging av skiftebrakker for kvinner og andre som har behov for egne skiftemuligheter</w:t>
            </w:r>
          </w:p>
          <w:p w14:paraId="2B8D7E43" w14:textId="77777777" w:rsidR="00260F7A" w:rsidRDefault="00260F7A" w:rsidP="00905891">
            <w:pPr>
              <w:rPr>
                <w:b/>
                <w:bCs/>
                <w:sz w:val="18"/>
                <w:szCs w:val="18"/>
              </w:rPr>
            </w:pPr>
          </w:p>
          <w:p w14:paraId="79A89851" w14:textId="77777777" w:rsidR="00260F7A" w:rsidRDefault="00260F7A" w:rsidP="00905891">
            <w:pPr>
              <w:rPr>
                <w:b/>
                <w:bCs/>
                <w:sz w:val="18"/>
                <w:szCs w:val="18"/>
              </w:rPr>
            </w:pPr>
          </w:p>
          <w:p w14:paraId="091EED62" w14:textId="07EFDC42" w:rsidR="00260F7A" w:rsidRPr="0010370D" w:rsidRDefault="00B90342" w:rsidP="009058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F: Forekommer</w:t>
            </w:r>
            <w:r w:rsidR="00CE530F">
              <w:rPr>
                <w:b/>
                <w:bCs/>
                <w:sz w:val="18"/>
                <w:szCs w:val="18"/>
              </w:rPr>
              <w:t xml:space="preserve"> det diskriminering basert på kjønn, etnisitet eller alder muligheten til forfremmelse i </w:t>
            </w:r>
            <w:proofErr w:type="gramStart"/>
            <w:r w:rsidR="00CE530F">
              <w:rPr>
                <w:b/>
                <w:bCs/>
                <w:sz w:val="18"/>
                <w:szCs w:val="18"/>
              </w:rPr>
              <w:t>virksomheten  ?</w:t>
            </w:r>
            <w:proofErr w:type="gramEnd"/>
          </w:p>
        </w:tc>
        <w:tc>
          <w:tcPr>
            <w:tcW w:w="4536" w:type="dxa"/>
          </w:tcPr>
          <w:p w14:paraId="4A4A7C93" w14:textId="77777777" w:rsidR="00D74B03" w:rsidRDefault="00905891" w:rsidP="009058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Utarbeide styrende prosesser og dokumenter for rekruttering og lederutvikling.</w:t>
            </w:r>
          </w:p>
          <w:p w14:paraId="17D74105" w14:textId="71823622" w:rsidR="00905891" w:rsidRDefault="00905891" w:rsidP="009058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Påse at prosesser knyttet til rekruttering</w:t>
            </w:r>
            <w:r w:rsidR="00941D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og utvikling av ansatte er kompetansebaserte og bevisste.</w:t>
            </w:r>
          </w:p>
          <w:p w14:paraId="6266FD49" w14:textId="77777777" w:rsidR="00905891" w:rsidRDefault="00905891" w:rsidP="009058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Fortsett å rette attraktivitetsarbeidet til at kvinner skal ønske å søke seg til bransjen.</w:t>
            </w:r>
          </w:p>
          <w:p w14:paraId="4BDA4625" w14:textId="77777777" w:rsidR="00905891" w:rsidRDefault="00905891" w:rsidP="009058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lang w:val="da-DK"/>
              </w:rPr>
            </w:pPr>
            <w:r w:rsidRPr="00905891">
              <w:rPr>
                <w:sz w:val="18"/>
                <w:szCs w:val="18"/>
                <w:lang w:val="da-DK"/>
              </w:rPr>
              <w:t xml:space="preserve">Vise større </w:t>
            </w:r>
            <w:proofErr w:type="spellStart"/>
            <w:r w:rsidRPr="00905891">
              <w:rPr>
                <w:sz w:val="18"/>
                <w:szCs w:val="18"/>
                <w:lang w:val="da-DK"/>
              </w:rPr>
              <w:t>mangfold</w:t>
            </w:r>
            <w:proofErr w:type="spellEnd"/>
            <w:r w:rsidRPr="00905891">
              <w:rPr>
                <w:sz w:val="18"/>
                <w:szCs w:val="18"/>
                <w:lang w:val="da-DK"/>
              </w:rPr>
              <w:t xml:space="preserve"> i tekst</w:t>
            </w:r>
            <w:r>
              <w:rPr>
                <w:sz w:val="18"/>
                <w:szCs w:val="18"/>
                <w:lang w:val="da-DK"/>
              </w:rPr>
              <w:t xml:space="preserve"> og bilder som </w:t>
            </w:r>
            <w:proofErr w:type="spellStart"/>
            <w:r>
              <w:rPr>
                <w:sz w:val="18"/>
                <w:szCs w:val="18"/>
                <w:lang w:val="da-DK"/>
              </w:rPr>
              <w:t>brukes</w:t>
            </w:r>
            <w:proofErr w:type="spellEnd"/>
            <w:r>
              <w:rPr>
                <w:sz w:val="18"/>
                <w:szCs w:val="18"/>
                <w:lang w:val="da-DK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da-DK"/>
              </w:rPr>
              <w:t>annonser</w:t>
            </w:r>
            <w:proofErr w:type="spellEnd"/>
            <w:r>
              <w:rPr>
                <w:sz w:val="18"/>
                <w:szCs w:val="18"/>
                <w:lang w:val="da-DK"/>
              </w:rPr>
              <w:t xml:space="preserve"> og markedsføring.</w:t>
            </w:r>
          </w:p>
          <w:p w14:paraId="45C66138" w14:textId="77777777" w:rsidR="00905891" w:rsidRDefault="00905891" w:rsidP="009058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905891">
              <w:rPr>
                <w:sz w:val="18"/>
                <w:szCs w:val="18"/>
              </w:rPr>
              <w:t>Bruke bevisste og objektive u</w:t>
            </w:r>
            <w:r>
              <w:rPr>
                <w:sz w:val="18"/>
                <w:szCs w:val="18"/>
              </w:rPr>
              <w:t>tvalgsmetoder tidlig i rekrutteringsprosessen for å hindre ubevisst diskriminering.</w:t>
            </w:r>
          </w:p>
          <w:p w14:paraId="3842FC0C" w14:textId="7A3B8A08" w:rsidR="00905891" w:rsidRDefault="006453CF" w:rsidP="00CA24C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Monitorere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A24CA">
              <w:rPr>
                <w:sz w:val="18"/>
                <w:szCs w:val="18"/>
              </w:rPr>
              <w:t>belønningssystemer for å sikre likestilling og unngå diskriminering.</w:t>
            </w:r>
          </w:p>
          <w:p w14:paraId="792D89E2" w14:textId="77777777" w:rsidR="0010370D" w:rsidRDefault="0010370D" w:rsidP="0010370D">
            <w:pPr>
              <w:rPr>
                <w:sz w:val="18"/>
                <w:szCs w:val="18"/>
              </w:rPr>
            </w:pPr>
          </w:p>
          <w:p w14:paraId="6B96A675" w14:textId="77777777" w:rsidR="0010370D" w:rsidRDefault="0010370D" w:rsidP="0010370D">
            <w:pPr>
              <w:rPr>
                <w:sz w:val="18"/>
                <w:szCs w:val="18"/>
              </w:rPr>
            </w:pPr>
          </w:p>
          <w:p w14:paraId="078DE35E" w14:textId="77777777" w:rsidR="0010370D" w:rsidRDefault="0010370D" w:rsidP="0010370D">
            <w:pPr>
              <w:rPr>
                <w:sz w:val="18"/>
                <w:szCs w:val="18"/>
              </w:rPr>
            </w:pPr>
          </w:p>
          <w:p w14:paraId="787AB9E4" w14:textId="77777777" w:rsidR="0010370D" w:rsidRDefault="0010370D" w:rsidP="0010370D">
            <w:pPr>
              <w:rPr>
                <w:sz w:val="18"/>
                <w:szCs w:val="18"/>
              </w:rPr>
            </w:pPr>
          </w:p>
          <w:p w14:paraId="33C558A0" w14:textId="2DBC8806" w:rsidR="0010370D" w:rsidRDefault="0010370D" w:rsidP="0010370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Nulltoleranse for krenkende adferd i alle former er nedfelt i NCCs etiske retningslinjer og i policy for mangfold og inkludering.</w:t>
            </w:r>
          </w:p>
          <w:p w14:paraId="07F01C8A" w14:textId="46164986" w:rsidR="0010370D" w:rsidRDefault="0010370D" w:rsidP="0010370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Varslingsrutiner beskriver prosessene for varsling av arbeidsmiljørelaterte og psykososiale saker.</w:t>
            </w:r>
          </w:p>
          <w:p w14:paraId="4C0344A9" w14:textId="4556D518" w:rsidR="0010370D" w:rsidRDefault="0010370D" w:rsidP="0010370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Mobbing og trakassering som tema i ledermøter og tillitsvalgts møter.</w:t>
            </w:r>
          </w:p>
          <w:p w14:paraId="35159E0D" w14:textId="77777777" w:rsidR="0010370D" w:rsidRPr="0010370D" w:rsidRDefault="0010370D" w:rsidP="0010370D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81B2EC1" w14:textId="77777777" w:rsidR="0010370D" w:rsidRDefault="0010370D" w:rsidP="0010370D">
            <w:pPr>
              <w:rPr>
                <w:sz w:val="18"/>
                <w:szCs w:val="18"/>
              </w:rPr>
            </w:pPr>
          </w:p>
          <w:p w14:paraId="03603BBE" w14:textId="73D73AC5" w:rsidR="002862B7" w:rsidRDefault="002862B7" w:rsidP="002862B7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å redusere ubevisst diskriminering er det gjennomført tiltak for kompetanseheving og refleksjon omkring tematikken.</w:t>
            </w:r>
          </w:p>
          <w:p w14:paraId="487404FC" w14:textId="77777777" w:rsidR="002862B7" w:rsidRDefault="002862B7" w:rsidP="002862B7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jobbet videre med arbeidsmiljø og mangfold for å øke bevisstheten om å skape et inkluderende arbeidsmiljø fritt for trakassering og mobbing.</w:t>
            </w:r>
          </w:p>
          <w:p w14:paraId="65E640A2" w14:textId="77777777" w:rsidR="002862B7" w:rsidRDefault="002862B7" w:rsidP="002862B7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Etablert kvinnenettverk </w:t>
            </w:r>
          </w:p>
          <w:p w14:paraId="17E39F3E" w14:textId="77777777" w:rsidR="00704C8C" w:rsidRDefault="00704C8C" w:rsidP="00704C8C">
            <w:pPr>
              <w:rPr>
                <w:sz w:val="18"/>
                <w:szCs w:val="18"/>
              </w:rPr>
            </w:pPr>
          </w:p>
          <w:p w14:paraId="25FE217C" w14:textId="77777777" w:rsidR="00704C8C" w:rsidRDefault="00704C8C" w:rsidP="00704C8C">
            <w:pPr>
              <w:rPr>
                <w:sz w:val="18"/>
                <w:szCs w:val="18"/>
              </w:rPr>
            </w:pPr>
          </w:p>
          <w:p w14:paraId="2C40F549" w14:textId="77777777" w:rsidR="00704C8C" w:rsidRDefault="00704C8C" w:rsidP="00704C8C">
            <w:pPr>
              <w:rPr>
                <w:sz w:val="18"/>
                <w:szCs w:val="18"/>
              </w:rPr>
            </w:pPr>
          </w:p>
          <w:p w14:paraId="75694A75" w14:textId="77777777" w:rsidR="00704C8C" w:rsidRDefault="00704C8C" w:rsidP="00704C8C">
            <w:pPr>
              <w:rPr>
                <w:sz w:val="18"/>
                <w:szCs w:val="18"/>
              </w:rPr>
            </w:pPr>
          </w:p>
          <w:p w14:paraId="3E94F2D5" w14:textId="77777777" w:rsidR="00704C8C" w:rsidRDefault="00704C8C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9C5ED0A" w14:textId="77777777" w:rsidR="00704C8C" w:rsidRDefault="00704C8C" w:rsidP="00704C8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Så langt det er mulig blir det tilrettelagt for medarbeidere som har funksjonsnedsettelse </w:t>
            </w:r>
          </w:p>
          <w:p w14:paraId="3E02B39D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A5ABD7F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5E935CED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5F431367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76248F1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6EF149E7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3DDF2AF3" w14:textId="77777777" w:rsidR="000A23EE" w:rsidRDefault="000A23EE" w:rsidP="00704C8C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8A15173" w14:textId="132661D8" w:rsidR="000A23EE" w:rsidRDefault="000A23EE" w:rsidP="000A23EE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er besluttet at </w:t>
            </w:r>
            <w:r w:rsidR="00CE530F">
              <w:rPr>
                <w:sz w:val="18"/>
                <w:szCs w:val="18"/>
              </w:rPr>
              <w:t>stillingstittelen «</w:t>
            </w:r>
            <w:r>
              <w:rPr>
                <w:sz w:val="18"/>
                <w:szCs w:val="18"/>
              </w:rPr>
              <w:t xml:space="preserve">formann» endres til «anleggsleder </w:t>
            </w:r>
            <w:proofErr w:type="gramStart"/>
            <w:r>
              <w:rPr>
                <w:sz w:val="18"/>
                <w:szCs w:val="18"/>
              </w:rPr>
              <w:t xml:space="preserve">« </w:t>
            </w:r>
            <w:r w:rsidR="008D25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elle</w:t>
            </w:r>
            <w:r w:rsidR="008D25EB">
              <w:rPr>
                <w:sz w:val="18"/>
                <w:szCs w:val="18"/>
              </w:rPr>
              <w:t>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8D25EB">
              <w:rPr>
                <w:sz w:val="18"/>
                <w:szCs w:val="18"/>
              </w:rPr>
              <w:t xml:space="preserve"> </w:t>
            </w:r>
            <w:r w:rsidR="002C3D4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pr</w:t>
            </w:r>
            <w:r w:rsidR="002C3D4B">
              <w:rPr>
                <w:sz w:val="18"/>
                <w:szCs w:val="18"/>
              </w:rPr>
              <w:t>oduksjonsleder»</w:t>
            </w:r>
          </w:p>
          <w:p w14:paraId="07D898B0" w14:textId="77777777" w:rsidR="002C3D4B" w:rsidRDefault="002C3D4B" w:rsidP="000A23EE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prosjekter skal ha separate skiftemuligheter for kvinner og menn.</w:t>
            </w:r>
          </w:p>
          <w:p w14:paraId="2DFF61A4" w14:textId="77777777" w:rsidR="002C3D4B" w:rsidRDefault="002C3D4B" w:rsidP="000A23EE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Arbeidsklær har egen kvinnekolleksjon</w:t>
            </w:r>
          </w:p>
          <w:p w14:paraId="005A75A6" w14:textId="77777777" w:rsidR="002C3D4B" w:rsidRDefault="002C3D4B" w:rsidP="000A23EE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Tilby gratis bind og tamponger ute på arbeidsplasser/ prosjekter</w:t>
            </w:r>
          </w:p>
          <w:p w14:paraId="775AEB11" w14:textId="77777777" w:rsidR="003561A4" w:rsidRDefault="003561A4" w:rsidP="003561A4">
            <w:pPr>
              <w:rPr>
                <w:sz w:val="18"/>
                <w:szCs w:val="18"/>
              </w:rPr>
            </w:pPr>
          </w:p>
          <w:p w14:paraId="65DE62DA" w14:textId="77777777" w:rsidR="003561A4" w:rsidRDefault="003561A4" w:rsidP="003561A4">
            <w:pPr>
              <w:rPr>
                <w:sz w:val="18"/>
                <w:szCs w:val="18"/>
              </w:rPr>
            </w:pPr>
          </w:p>
          <w:p w14:paraId="04F6E630" w14:textId="5282345C" w:rsidR="003561A4" w:rsidRDefault="00855374" w:rsidP="00CE530F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Definere tydelige objektive kriterier for forfremmelse basert på prestasjoner, kvalifikasjoner og kompetanse.</w:t>
            </w:r>
          </w:p>
          <w:p w14:paraId="20355D3E" w14:textId="0DEE0B9C" w:rsidR="00855374" w:rsidRDefault="00855374" w:rsidP="00CE530F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 opplæring til leder</w:t>
            </w:r>
            <w:r w:rsidR="00A14E5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og HR ansatte for å gjenkjenne og </w:t>
            </w:r>
            <w:proofErr w:type="spellStart"/>
            <w:r>
              <w:rPr>
                <w:sz w:val="18"/>
                <w:szCs w:val="18"/>
              </w:rPr>
              <w:t>og</w:t>
            </w:r>
            <w:proofErr w:type="spellEnd"/>
            <w:r>
              <w:rPr>
                <w:sz w:val="18"/>
                <w:szCs w:val="18"/>
              </w:rPr>
              <w:t xml:space="preserve"> motvirke ubevisste fordommer.</w:t>
            </w:r>
          </w:p>
          <w:p w14:paraId="38626786" w14:textId="60488234" w:rsidR="00855374" w:rsidRDefault="00855374" w:rsidP="00CE530F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Fremme en kultur som fremmer mangfold og inkludering</w:t>
            </w:r>
          </w:p>
          <w:p w14:paraId="2321A400" w14:textId="7E5C75A6" w:rsidR="00855374" w:rsidRPr="00CE530F" w:rsidRDefault="00855374" w:rsidP="00CE530F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855374">
              <w:rPr>
                <w:sz w:val="18"/>
                <w:szCs w:val="18"/>
              </w:rPr>
              <w:t>Fleksible arbeidsordninger: Etablere retningslinjer som støtter balanse mellom arbeid og privatliv, som fleksible arbeidsordninger og foreldre</w:t>
            </w:r>
            <w:r w:rsidR="00B90342">
              <w:rPr>
                <w:sz w:val="18"/>
                <w:szCs w:val="18"/>
              </w:rPr>
              <w:t>/ seniorpermisjoner</w:t>
            </w:r>
          </w:p>
          <w:p w14:paraId="028578A2" w14:textId="651CB72D" w:rsidR="003561A4" w:rsidRPr="003561A4" w:rsidRDefault="003561A4" w:rsidP="003561A4">
            <w:pPr>
              <w:rPr>
                <w:sz w:val="18"/>
                <w:szCs w:val="18"/>
              </w:rPr>
            </w:pPr>
          </w:p>
        </w:tc>
        <w:tc>
          <w:tcPr>
            <w:tcW w:w="4515" w:type="dxa"/>
          </w:tcPr>
          <w:p w14:paraId="15B822A2" w14:textId="77777777" w:rsidR="00D74B03" w:rsidRDefault="00CA24CA" w:rsidP="00CA24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Implementert</w:t>
            </w:r>
            <w:proofErr w:type="gramEnd"/>
          </w:p>
          <w:p w14:paraId="5B2C6C9C" w14:textId="747401EF" w:rsidR="00CA24CA" w:rsidRDefault="00CA24CA" w:rsidP="00CA2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  Andelen kvinner </w:t>
            </w:r>
            <w:r w:rsidR="00E566A4">
              <w:rPr>
                <w:sz w:val="18"/>
                <w:szCs w:val="18"/>
              </w:rPr>
              <w:t xml:space="preserve">har ikke økt fra 2024 til 2025 da behov for bemanningstilpasning </w:t>
            </w:r>
            <w:proofErr w:type="spellStart"/>
            <w:r w:rsidR="00E566A4">
              <w:rPr>
                <w:sz w:val="18"/>
                <w:szCs w:val="18"/>
              </w:rPr>
              <w:t>iht</w:t>
            </w:r>
            <w:proofErr w:type="spellEnd"/>
            <w:r w:rsidR="00E566A4">
              <w:rPr>
                <w:sz w:val="18"/>
                <w:szCs w:val="18"/>
              </w:rPr>
              <w:t xml:space="preserve"> markedsaktivitet har vært pågående i organisasjonen</w:t>
            </w:r>
            <w:r w:rsidR="00BD10FA">
              <w:rPr>
                <w:sz w:val="18"/>
                <w:szCs w:val="18"/>
              </w:rPr>
              <w:t>,</w:t>
            </w:r>
            <w:r w:rsidR="00E566A4">
              <w:rPr>
                <w:sz w:val="18"/>
                <w:szCs w:val="18"/>
              </w:rPr>
              <w:t xml:space="preserve"> uavhengig av kjønn.</w:t>
            </w:r>
          </w:p>
          <w:p w14:paraId="70DF027C" w14:textId="4912AFFB" w:rsidR="00CA24CA" w:rsidRDefault="00CA24CA" w:rsidP="00CA2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      Er gitt høy oppmerksomhet gjennom kompetansehevingstiltak knyttet til ubevisst diskriminering.</w:t>
            </w:r>
          </w:p>
          <w:p w14:paraId="1F9055AF" w14:textId="0D11DAC2" w:rsidR="00CA24CA" w:rsidRDefault="00CA24CA" w:rsidP="00CA2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      Det er ikke avdekket diskriminerende lønnsforskjeller mellom kvinner og menn. Personer i foreldrepermisjon blir </w:t>
            </w:r>
            <w:r w:rsidR="00BD10FA">
              <w:rPr>
                <w:sz w:val="18"/>
                <w:szCs w:val="18"/>
              </w:rPr>
              <w:t>lønnsregulert.</w:t>
            </w:r>
          </w:p>
          <w:p w14:paraId="68F48F00" w14:textId="3F41DFC5" w:rsidR="00CA24CA" w:rsidRPr="00CA24CA" w:rsidRDefault="00CA24CA" w:rsidP="00CA24C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1351B012" w14:textId="3EEE17AE" w:rsidR="00CA24CA" w:rsidRDefault="00CA24CA" w:rsidP="00CA24CA">
            <w:pPr>
              <w:pStyle w:val="ListParagraph"/>
              <w:rPr>
                <w:sz w:val="18"/>
                <w:szCs w:val="18"/>
              </w:rPr>
            </w:pPr>
          </w:p>
          <w:p w14:paraId="5475C7FA" w14:textId="319E06CF" w:rsidR="00CA24CA" w:rsidRDefault="00CA24CA" w:rsidP="00CA24CA">
            <w:pPr>
              <w:pStyle w:val="ListParagraph"/>
              <w:rPr>
                <w:sz w:val="18"/>
                <w:szCs w:val="18"/>
              </w:rPr>
            </w:pPr>
          </w:p>
          <w:p w14:paraId="55A46715" w14:textId="77777777" w:rsidR="00CA24CA" w:rsidRDefault="00CA24CA" w:rsidP="00CA24CA">
            <w:pPr>
              <w:pStyle w:val="ListParagraph"/>
              <w:rPr>
                <w:sz w:val="18"/>
                <w:szCs w:val="18"/>
              </w:rPr>
            </w:pPr>
          </w:p>
          <w:p w14:paraId="46A07280" w14:textId="77777777" w:rsidR="0010370D" w:rsidRDefault="0010370D" w:rsidP="00CA24CA">
            <w:pPr>
              <w:pStyle w:val="ListParagraph"/>
              <w:rPr>
                <w:sz w:val="18"/>
                <w:szCs w:val="18"/>
              </w:rPr>
            </w:pPr>
          </w:p>
          <w:p w14:paraId="2B303AE0" w14:textId="77777777" w:rsidR="0010370D" w:rsidRDefault="0010370D" w:rsidP="00CA24CA">
            <w:pPr>
              <w:pStyle w:val="ListParagraph"/>
              <w:rPr>
                <w:sz w:val="18"/>
                <w:szCs w:val="18"/>
              </w:rPr>
            </w:pPr>
          </w:p>
          <w:p w14:paraId="28191D70" w14:textId="77777777" w:rsidR="0010370D" w:rsidRDefault="0010370D" w:rsidP="00CA24CA">
            <w:pPr>
              <w:pStyle w:val="ListParagraph"/>
              <w:rPr>
                <w:sz w:val="18"/>
                <w:szCs w:val="18"/>
              </w:rPr>
            </w:pPr>
          </w:p>
          <w:p w14:paraId="03DDEE0C" w14:textId="77777777" w:rsidR="0010370D" w:rsidRDefault="0010370D" w:rsidP="00CA24CA">
            <w:pPr>
              <w:pStyle w:val="ListParagraph"/>
              <w:rPr>
                <w:sz w:val="18"/>
                <w:szCs w:val="18"/>
              </w:rPr>
            </w:pPr>
          </w:p>
          <w:p w14:paraId="09CDE997" w14:textId="137AE1BF" w:rsidR="0010370D" w:rsidRDefault="0010370D" w:rsidP="001037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Kontinuerlig arbeid som forsterkes med ytterlige kompetansehevingstiltak.</w:t>
            </w:r>
          </w:p>
          <w:p w14:paraId="0180BA18" w14:textId="45A0C359" w:rsidR="0010370D" w:rsidRDefault="0010370D" w:rsidP="001037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202</w:t>
            </w:r>
            <w:r w:rsidR="00E566A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ble det innrapportert og behandlet </w:t>
            </w:r>
            <w:r w:rsidR="00E03A9D">
              <w:rPr>
                <w:sz w:val="18"/>
                <w:szCs w:val="18"/>
              </w:rPr>
              <w:t>ett</w:t>
            </w:r>
            <w:r>
              <w:rPr>
                <w:sz w:val="18"/>
                <w:szCs w:val="18"/>
              </w:rPr>
              <w:t xml:space="preserve"> varsel knyttet til mobbing og trakassering i selskapets varslingskanal.</w:t>
            </w:r>
          </w:p>
          <w:p w14:paraId="5A867BE6" w14:textId="200FD03B" w:rsidR="0010370D" w:rsidRPr="0010370D" w:rsidRDefault="0010370D" w:rsidP="001037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Gjennomført.</w:t>
            </w:r>
          </w:p>
          <w:p w14:paraId="3F2A835E" w14:textId="77777777" w:rsidR="0010370D" w:rsidRDefault="0010370D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D5C34C3" w14:textId="77777777" w:rsidR="002862B7" w:rsidRDefault="002862B7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3220F730" w14:textId="77777777" w:rsidR="002862B7" w:rsidRDefault="002862B7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6566CD2A" w14:textId="2DBF8BE5" w:rsidR="002862B7" w:rsidRDefault="003B6117" w:rsidP="002862B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Gjennomført kompetansehevende dialoger i ledergrupper </w:t>
            </w:r>
          </w:p>
          <w:p w14:paraId="656737E4" w14:textId="4F7BB98F" w:rsidR="003B6117" w:rsidRDefault="003B6117" w:rsidP="002862B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3B6117">
              <w:rPr>
                <w:sz w:val="18"/>
                <w:szCs w:val="18"/>
              </w:rPr>
              <w:t xml:space="preserve">OCG / </w:t>
            </w:r>
            <w:r w:rsidR="0035083E" w:rsidRPr="003B6117">
              <w:rPr>
                <w:sz w:val="18"/>
                <w:szCs w:val="18"/>
              </w:rPr>
              <w:t>mangfolds dugnad</w:t>
            </w:r>
            <w:r w:rsidRPr="003B6117">
              <w:rPr>
                <w:sz w:val="18"/>
                <w:szCs w:val="18"/>
              </w:rPr>
              <w:t>/ feedback trening samt medarbeiderproses</w:t>
            </w:r>
            <w:r w:rsidR="00862021">
              <w:rPr>
                <w:sz w:val="18"/>
                <w:szCs w:val="18"/>
              </w:rPr>
              <w:t>s</w:t>
            </w:r>
            <w:r w:rsidRPr="003B6117">
              <w:rPr>
                <w:sz w:val="18"/>
                <w:szCs w:val="18"/>
              </w:rPr>
              <w:t xml:space="preserve">er som bygger på vår Star </w:t>
            </w:r>
            <w:proofErr w:type="spellStart"/>
            <w:r w:rsidR="0035083E" w:rsidRPr="003B6117">
              <w:rPr>
                <w:sz w:val="18"/>
                <w:szCs w:val="18"/>
              </w:rPr>
              <w:t>Behav</w:t>
            </w:r>
            <w:r w:rsidR="0035083E">
              <w:rPr>
                <w:sz w:val="18"/>
                <w:szCs w:val="18"/>
              </w:rPr>
              <w:t>iours</w:t>
            </w:r>
            <w:proofErr w:type="spellEnd"/>
            <w:r w:rsidR="008D25EB" w:rsidRPr="003B6117">
              <w:rPr>
                <w:sz w:val="18"/>
                <w:szCs w:val="18"/>
              </w:rPr>
              <w:t xml:space="preserve"> der</w:t>
            </w:r>
            <w:r w:rsidRPr="003B6117">
              <w:rPr>
                <w:sz w:val="18"/>
                <w:szCs w:val="18"/>
              </w:rPr>
              <w:t xml:space="preserve"> fokus</w:t>
            </w:r>
            <w:r w:rsidR="0035083E">
              <w:rPr>
                <w:sz w:val="18"/>
                <w:szCs w:val="18"/>
              </w:rPr>
              <w:t xml:space="preserve"> er</w:t>
            </w:r>
            <w:r w:rsidRPr="003B6117">
              <w:rPr>
                <w:sz w:val="18"/>
                <w:szCs w:val="18"/>
              </w:rPr>
              <w:t xml:space="preserve"> på psykologisk trygghet og</w:t>
            </w:r>
            <w:r>
              <w:rPr>
                <w:sz w:val="18"/>
                <w:szCs w:val="18"/>
              </w:rPr>
              <w:t xml:space="preserve"> tilhørighet </w:t>
            </w:r>
            <w:r w:rsidR="00862021">
              <w:rPr>
                <w:sz w:val="18"/>
                <w:szCs w:val="18"/>
              </w:rPr>
              <w:t>og det å bygge sammen er fokus.</w:t>
            </w:r>
          </w:p>
          <w:p w14:paraId="3A1EF7D9" w14:textId="0215D41E" w:rsidR="00862021" w:rsidRPr="003B6117" w:rsidRDefault="00862021" w:rsidP="002862B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Iverksatt </w:t>
            </w:r>
          </w:p>
          <w:p w14:paraId="6DC7D3F9" w14:textId="77777777" w:rsidR="002862B7" w:rsidRDefault="002862B7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566F4B4" w14:textId="77777777" w:rsidR="00704C8C" w:rsidRDefault="00704C8C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3C2C9760" w14:textId="77777777" w:rsidR="00704C8C" w:rsidRDefault="00704C8C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5269F98A" w14:textId="77777777" w:rsidR="00704C8C" w:rsidRDefault="00704C8C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580BC8B" w14:textId="77777777" w:rsidR="00704C8C" w:rsidRDefault="00704C8C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B3CB991" w14:textId="7334A3E7" w:rsidR="00704C8C" w:rsidRDefault="00704C8C" w:rsidP="0010370D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Vurderes og tilrettelegges i hvert enkelt tilfelle </w:t>
            </w:r>
          </w:p>
          <w:p w14:paraId="0C258270" w14:textId="77777777" w:rsidR="00704C8C" w:rsidRDefault="00704C8C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F504768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694FE909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4FDE8C3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3D32143E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8FBB2D8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7B35AC87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6163D1E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786B288" w14:textId="6F093E88" w:rsidR="002C3D4B" w:rsidRDefault="002C3D4B" w:rsidP="002C3D4B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Gjennomført</w:t>
            </w:r>
          </w:p>
          <w:p w14:paraId="2D6480D6" w14:textId="2A502879" w:rsidR="002C3D4B" w:rsidRDefault="002C3D4B" w:rsidP="002C3D4B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tilrettelagt for separate skift</w:t>
            </w:r>
            <w:r w:rsidR="00CE530F">
              <w:rPr>
                <w:sz w:val="18"/>
                <w:szCs w:val="18"/>
              </w:rPr>
              <w:t xml:space="preserve">emuligheter </w:t>
            </w:r>
            <w:r>
              <w:rPr>
                <w:sz w:val="18"/>
                <w:szCs w:val="18"/>
              </w:rPr>
              <w:t>på prosjekter, men avvik kan forekomme.</w:t>
            </w:r>
          </w:p>
          <w:p w14:paraId="79BF263A" w14:textId="5201D4A1" w:rsidR="002C3D4B" w:rsidRDefault="002C3D4B" w:rsidP="002C3D4B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Iverksatt</w:t>
            </w:r>
          </w:p>
          <w:p w14:paraId="613B0449" w14:textId="2F8ACD49" w:rsidR="002C3D4B" w:rsidRDefault="002C3D4B" w:rsidP="002C3D4B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Ikke </w:t>
            </w:r>
            <w:r w:rsidR="008D25EB">
              <w:rPr>
                <w:sz w:val="18"/>
                <w:szCs w:val="18"/>
              </w:rPr>
              <w:t>iverksatt,</w:t>
            </w:r>
            <w:r>
              <w:rPr>
                <w:sz w:val="18"/>
                <w:szCs w:val="18"/>
              </w:rPr>
              <w:t xml:space="preserve"> sees på for 202</w:t>
            </w:r>
            <w:r w:rsidR="00E03A9D">
              <w:rPr>
                <w:sz w:val="18"/>
                <w:szCs w:val="18"/>
              </w:rPr>
              <w:t>6</w:t>
            </w:r>
          </w:p>
          <w:p w14:paraId="105E40CB" w14:textId="77777777" w:rsidR="002C3D4B" w:rsidRDefault="002C3D4B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F80008C" w14:textId="77777777" w:rsidR="00331D1E" w:rsidRDefault="00331D1E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167CDE4" w14:textId="77777777" w:rsidR="00331D1E" w:rsidRDefault="00331D1E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28F9E9E" w14:textId="77777777" w:rsidR="00331D1E" w:rsidRDefault="00331D1E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E557FC7" w14:textId="77777777" w:rsidR="00331D1E" w:rsidRDefault="00331D1E" w:rsidP="0010370D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5571A2E3" w14:textId="7EC2CF35" w:rsidR="00331D1E" w:rsidRPr="003B6117" w:rsidRDefault="00331D1E" w:rsidP="0010370D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  <w:r w:rsidR="00B90342">
              <w:rPr>
                <w:sz w:val="18"/>
                <w:szCs w:val="18"/>
              </w:rPr>
              <w:t>Pågående aktiviteter i selskapet</w:t>
            </w:r>
          </w:p>
        </w:tc>
        <w:tc>
          <w:tcPr>
            <w:tcW w:w="236" w:type="dxa"/>
          </w:tcPr>
          <w:p w14:paraId="0382B59D" w14:textId="77777777" w:rsidR="00D74B03" w:rsidRPr="003B6117" w:rsidRDefault="00D74B03"/>
        </w:tc>
      </w:tr>
    </w:tbl>
    <w:p w14:paraId="36AE29C6" w14:textId="77777777" w:rsidR="000C7D7E" w:rsidRDefault="000C7D7E"/>
    <w:p w14:paraId="147004B5" w14:textId="77777777" w:rsidR="00723A40" w:rsidRDefault="00723A40"/>
    <w:p w14:paraId="317C6F09" w14:textId="77777777" w:rsidR="00331D1E" w:rsidRDefault="00331D1E"/>
    <w:p w14:paraId="4F54617F" w14:textId="77777777" w:rsidR="00102FCC" w:rsidRDefault="00102FCC">
      <w:pPr>
        <w:rPr>
          <w:b/>
          <w:bCs/>
          <w:u w:val="single"/>
        </w:rPr>
      </w:pPr>
    </w:p>
    <w:p w14:paraId="40FE4684" w14:textId="59528F68" w:rsidR="00FD5214" w:rsidRPr="00102FCC" w:rsidRDefault="00102FCC">
      <w:pPr>
        <w:rPr>
          <w:b/>
          <w:bCs/>
          <w:u w:val="single"/>
        </w:rPr>
      </w:pPr>
      <w:r w:rsidRPr="00102FCC">
        <w:rPr>
          <w:b/>
          <w:bCs/>
          <w:u w:val="single"/>
        </w:rPr>
        <w:lastRenderedPageBreak/>
        <w:t>Kjønnsbalanse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388"/>
        <w:gridCol w:w="1847"/>
        <w:gridCol w:w="1848"/>
        <w:gridCol w:w="1134"/>
        <w:gridCol w:w="1134"/>
        <w:gridCol w:w="1488"/>
        <w:gridCol w:w="1489"/>
        <w:gridCol w:w="1204"/>
        <w:gridCol w:w="1205"/>
      </w:tblGrid>
      <w:tr w:rsidR="00E242D5" w14:paraId="7B56AEA6" w14:textId="77777777" w:rsidTr="00E242D5">
        <w:tc>
          <w:tcPr>
            <w:tcW w:w="3388" w:type="dxa"/>
          </w:tcPr>
          <w:p w14:paraId="62F73125" w14:textId="15AFF0A2" w:rsidR="00E242D5" w:rsidRDefault="00E242D5"/>
        </w:tc>
        <w:tc>
          <w:tcPr>
            <w:tcW w:w="3695" w:type="dxa"/>
            <w:gridSpan w:val="2"/>
          </w:tcPr>
          <w:p w14:paraId="40253102" w14:textId="7F0D4FB9" w:rsidR="00E242D5" w:rsidRPr="00E242D5" w:rsidRDefault="00E242D5" w:rsidP="00FD5214">
            <w:pPr>
              <w:jc w:val="center"/>
              <w:rPr>
                <w:b/>
                <w:bCs/>
                <w:i/>
                <w:iCs/>
              </w:rPr>
            </w:pPr>
            <w:r w:rsidRPr="00E242D5">
              <w:rPr>
                <w:b/>
                <w:bCs/>
                <w:i/>
                <w:iCs/>
              </w:rPr>
              <w:t>Kjønnsbalanse</w:t>
            </w:r>
          </w:p>
        </w:tc>
        <w:tc>
          <w:tcPr>
            <w:tcW w:w="2268" w:type="dxa"/>
            <w:gridSpan w:val="2"/>
          </w:tcPr>
          <w:p w14:paraId="6DD5E806" w14:textId="152F9B69" w:rsidR="00E242D5" w:rsidRPr="00FD5214" w:rsidRDefault="00E242D5" w:rsidP="00FD5214">
            <w:pPr>
              <w:jc w:val="center"/>
              <w:rPr>
                <w:b/>
                <w:bCs/>
              </w:rPr>
            </w:pPr>
            <w:r w:rsidRPr="00E242D5">
              <w:rPr>
                <w:b/>
                <w:bCs/>
                <w:i/>
                <w:iCs/>
              </w:rPr>
              <w:t>Midlertidig ansatte</w:t>
            </w:r>
            <w:r>
              <w:rPr>
                <w:b/>
                <w:bCs/>
              </w:rPr>
              <w:t>*</w:t>
            </w:r>
          </w:p>
        </w:tc>
        <w:tc>
          <w:tcPr>
            <w:tcW w:w="2977" w:type="dxa"/>
            <w:gridSpan w:val="2"/>
          </w:tcPr>
          <w:p w14:paraId="42332744" w14:textId="74EABBD7" w:rsidR="00E242D5" w:rsidRPr="00E242D5" w:rsidRDefault="00E242D5" w:rsidP="00FD5214">
            <w:pPr>
              <w:jc w:val="center"/>
              <w:rPr>
                <w:b/>
                <w:bCs/>
                <w:i/>
                <w:iCs/>
              </w:rPr>
            </w:pPr>
            <w:r w:rsidRPr="00E242D5">
              <w:rPr>
                <w:b/>
                <w:bCs/>
                <w:i/>
                <w:iCs/>
              </w:rPr>
              <w:t>Foreldrepermisjon</w:t>
            </w:r>
          </w:p>
        </w:tc>
        <w:tc>
          <w:tcPr>
            <w:tcW w:w="2409" w:type="dxa"/>
            <w:gridSpan w:val="2"/>
          </w:tcPr>
          <w:p w14:paraId="3F76238F" w14:textId="60677613" w:rsidR="00E242D5" w:rsidRPr="00E242D5" w:rsidRDefault="00E242D5" w:rsidP="00FD5214">
            <w:pPr>
              <w:jc w:val="center"/>
              <w:rPr>
                <w:b/>
                <w:bCs/>
                <w:i/>
                <w:iCs/>
              </w:rPr>
            </w:pPr>
            <w:r w:rsidRPr="00E242D5">
              <w:rPr>
                <w:b/>
                <w:bCs/>
                <w:i/>
                <w:iCs/>
              </w:rPr>
              <w:t>Ufrivillig Deltid</w:t>
            </w:r>
          </w:p>
        </w:tc>
      </w:tr>
      <w:tr w:rsidR="00E242D5" w14:paraId="1633B574" w14:textId="77777777" w:rsidTr="00E242D5">
        <w:tc>
          <w:tcPr>
            <w:tcW w:w="3388" w:type="dxa"/>
          </w:tcPr>
          <w:p w14:paraId="4777099F" w14:textId="6707E544" w:rsidR="00E242D5" w:rsidRPr="00E242D5" w:rsidRDefault="004632C5">
            <w:pPr>
              <w:rPr>
                <w:b/>
                <w:bCs/>
              </w:rPr>
            </w:pPr>
            <w:r>
              <w:rPr>
                <w:b/>
                <w:bCs/>
              </w:rPr>
              <w:t>31.12.202</w:t>
            </w:r>
            <w:r w:rsidR="000369B5">
              <w:rPr>
                <w:b/>
                <w:bCs/>
              </w:rPr>
              <w:t>5</w:t>
            </w:r>
          </w:p>
        </w:tc>
        <w:tc>
          <w:tcPr>
            <w:tcW w:w="3695" w:type="dxa"/>
            <w:gridSpan w:val="2"/>
          </w:tcPr>
          <w:p w14:paraId="3CB8E138" w14:textId="39699A6E" w:rsidR="00E242D5" w:rsidRPr="00FD5214" w:rsidRDefault="00E242D5" w:rsidP="00FD5214">
            <w:pPr>
              <w:jc w:val="center"/>
              <w:rPr>
                <w:sz w:val="18"/>
                <w:szCs w:val="18"/>
              </w:rPr>
            </w:pPr>
            <w:r w:rsidRPr="00FD5214">
              <w:rPr>
                <w:sz w:val="18"/>
                <w:szCs w:val="18"/>
              </w:rPr>
              <w:t>Antall</w:t>
            </w:r>
          </w:p>
        </w:tc>
        <w:tc>
          <w:tcPr>
            <w:tcW w:w="2268" w:type="dxa"/>
            <w:gridSpan w:val="2"/>
          </w:tcPr>
          <w:p w14:paraId="1BA4EDA0" w14:textId="161D0C5D" w:rsidR="00E242D5" w:rsidRPr="00FD5214" w:rsidRDefault="00E242D5" w:rsidP="00FD5214">
            <w:pPr>
              <w:jc w:val="center"/>
              <w:rPr>
                <w:sz w:val="18"/>
                <w:szCs w:val="18"/>
              </w:rPr>
            </w:pPr>
            <w:r w:rsidRPr="00FD5214">
              <w:rPr>
                <w:sz w:val="18"/>
                <w:szCs w:val="18"/>
              </w:rPr>
              <w:t>Antall</w:t>
            </w:r>
          </w:p>
        </w:tc>
        <w:tc>
          <w:tcPr>
            <w:tcW w:w="2977" w:type="dxa"/>
            <w:gridSpan w:val="2"/>
          </w:tcPr>
          <w:p w14:paraId="213CC328" w14:textId="43279EFD" w:rsidR="00E242D5" w:rsidRPr="00FD5214" w:rsidRDefault="006453CF" w:rsidP="00FD5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Antall </w:t>
            </w:r>
            <w:r w:rsidR="00E242D5" w:rsidRPr="00FD52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33179991" w14:textId="3747DF1D" w:rsidR="00E242D5" w:rsidRPr="00FD5214" w:rsidRDefault="00E242D5" w:rsidP="00FD5214">
            <w:pPr>
              <w:jc w:val="center"/>
              <w:rPr>
                <w:sz w:val="18"/>
                <w:szCs w:val="18"/>
              </w:rPr>
            </w:pPr>
            <w:r w:rsidRPr="00FD5214">
              <w:rPr>
                <w:sz w:val="18"/>
                <w:szCs w:val="18"/>
              </w:rPr>
              <w:t>Antall</w:t>
            </w:r>
          </w:p>
        </w:tc>
      </w:tr>
      <w:tr w:rsidR="00E242D5" w14:paraId="60392A3A" w14:textId="77777777" w:rsidTr="00E242D5">
        <w:tc>
          <w:tcPr>
            <w:tcW w:w="3388" w:type="dxa"/>
          </w:tcPr>
          <w:p w14:paraId="24484D4E" w14:textId="065AFF9A" w:rsidR="00E242D5" w:rsidRDefault="00E242D5"/>
        </w:tc>
        <w:tc>
          <w:tcPr>
            <w:tcW w:w="1847" w:type="dxa"/>
          </w:tcPr>
          <w:p w14:paraId="2215CD16" w14:textId="47CD99A2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Kvinner</w:t>
            </w:r>
          </w:p>
        </w:tc>
        <w:tc>
          <w:tcPr>
            <w:tcW w:w="1848" w:type="dxa"/>
          </w:tcPr>
          <w:p w14:paraId="04CA5EB0" w14:textId="7902B2FE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Menn</w:t>
            </w:r>
          </w:p>
        </w:tc>
        <w:tc>
          <w:tcPr>
            <w:tcW w:w="1134" w:type="dxa"/>
          </w:tcPr>
          <w:p w14:paraId="261583CD" w14:textId="352C59EE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Kvinner</w:t>
            </w:r>
          </w:p>
        </w:tc>
        <w:tc>
          <w:tcPr>
            <w:tcW w:w="1134" w:type="dxa"/>
          </w:tcPr>
          <w:p w14:paraId="629F4600" w14:textId="3DC5C3FC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Menn</w:t>
            </w:r>
          </w:p>
        </w:tc>
        <w:tc>
          <w:tcPr>
            <w:tcW w:w="1488" w:type="dxa"/>
          </w:tcPr>
          <w:p w14:paraId="00FAB433" w14:textId="0182CBBE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Kvinner</w:t>
            </w:r>
          </w:p>
        </w:tc>
        <w:tc>
          <w:tcPr>
            <w:tcW w:w="1489" w:type="dxa"/>
          </w:tcPr>
          <w:p w14:paraId="134D5375" w14:textId="11CEE80E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Menn</w:t>
            </w:r>
          </w:p>
        </w:tc>
        <w:tc>
          <w:tcPr>
            <w:tcW w:w="1204" w:type="dxa"/>
          </w:tcPr>
          <w:p w14:paraId="5D88491F" w14:textId="35D9BFA6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Kvinner</w:t>
            </w:r>
          </w:p>
        </w:tc>
        <w:tc>
          <w:tcPr>
            <w:tcW w:w="1205" w:type="dxa"/>
          </w:tcPr>
          <w:p w14:paraId="188760BC" w14:textId="7759C689" w:rsidR="00E242D5" w:rsidRPr="00941D83" w:rsidRDefault="00E242D5" w:rsidP="00FD5214">
            <w:pPr>
              <w:jc w:val="center"/>
              <w:rPr>
                <w:b/>
                <w:bCs/>
                <w:sz w:val="18"/>
                <w:szCs w:val="18"/>
              </w:rPr>
            </w:pPr>
            <w:r w:rsidRPr="00941D83">
              <w:rPr>
                <w:b/>
                <w:bCs/>
                <w:sz w:val="18"/>
                <w:szCs w:val="18"/>
              </w:rPr>
              <w:t>Menn</w:t>
            </w:r>
          </w:p>
        </w:tc>
      </w:tr>
      <w:tr w:rsidR="00E242D5" w14:paraId="1EE5DE78" w14:textId="77777777" w:rsidTr="00E242D5">
        <w:tc>
          <w:tcPr>
            <w:tcW w:w="3388" w:type="dxa"/>
          </w:tcPr>
          <w:p w14:paraId="7D3E6E8B" w14:textId="29F92745" w:rsidR="00E242D5" w:rsidRPr="00FD5214" w:rsidRDefault="00E242D5" w:rsidP="00FD5214">
            <w:pPr>
              <w:jc w:val="right"/>
              <w:rPr>
                <w:b/>
                <w:bCs/>
              </w:rPr>
            </w:pPr>
            <w:r w:rsidRPr="00FD5214">
              <w:rPr>
                <w:b/>
                <w:bCs/>
              </w:rPr>
              <w:t xml:space="preserve">NCC </w:t>
            </w:r>
            <w:r w:rsidR="00E72ACB">
              <w:rPr>
                <w:b/>
                <w:bCs/>
              </w:rPr>
              <w:t>Industri AS</w:t>
            </w:r>
            <w:r w:rsidR="00102FCC">
              <w:rPr>
                <w:b/>
                <w:bCs/>
              </w:rPr>
              <w:t>*</w:t>
            </w:r>
          </w:p>
        </w:tc>
        <w:tc>
          <w:tcPr>
            <w:tcW w:w="1847" w:type="dxa"/>
          </w:tcPr>
          <w:p w14:paraId="5F23BFC2" w14:textId="0F7CCCE4" w:rsidR="00E242D5" w:rsidRPr="000369B5" w:rsidRDefault="00E92E54" w:rsidP="00E72ACB">
            <w:pPr>
              <w:jc w:val="center"/>
              <w:rPr>
                <w:color w:val="FF0000"/>
              </w:rPr>
            </w:pPr>
            <w:r w:rsidRPr="00E92E54">
              <w:t>50</w:t>
            </w:r>
          </w:p>
        </w:tc>
        <w:tc>
          <w:tcPr>
            <w:tcW w:w="1848" w:type="dxa"/>
          </w:tcPr>
          <w:p w14:paraId="798059A7" w14:textId="1278C52A" w:rsidR="00E242D5" w:rsidRPr="000369B5" w:rsidRDefault="00E92E54" w:rsidP="00E72ACB">
            <w:pPr>
              <w:jc w:val="center"/>
              <w:rPr>
                <w:color w:val="FF0000"/>
              </w:rPr>
            </w:pPr>
            <w:r w:rsidRPr="00E92E54">
              <w:t>423</w:t>
            </w:r>
          </w:p>
        </w:tc>
        <w:tc>
          <w:tcPr>
            <w:tcW w:w="1134" w:type="dxa"/>
          </w:tcPr>
          <w:p w14:paraId="4BFC5640" w14:textId="2B806AF6" w:rsidR="00E242D5" w:rsidRPr="000369B5" w:rsidRDefault="00B62397" w:rsidP="00E72ACB">
            <w:pPr>
              <w:jc w:val="center"/>
              <w:rPr>
                <w:color w:val="FF0000"/>
              </w:rPr>
            </w:pPr>
            <w:r>
              <w:t>3</w:t>
            </w:r>
          </w:p>
        </w:tc>
        <w:tc>
          <w:tcPr>
            <w:tcW w:w="1134" w:type="dxa"/>
          </w:tcPr>
          <w:p w14:paraId="2A85B562" w14:textId="587AD15B" w:rsidR="00E242D5" w:rsidRPr="000369B5" w:rsidRDefault="00B62397" w:rsidP="00E72ACB">
            <w:pPr>
              <w:jc w:val="center"/>
              <w:rPr>
                <w:color w:val="FF0000"/>
              </w:rPr>
            </w:pPr>
            <w:r w:rsidRPr="00B62397">
              <w:t>2</w:t>
            </w:r>
          </w:p>
        </w:tc>
        <w:tc>
          <w:tcPr>
            <w:tcW w:w="1488" w:type="dxa"/>
          </w:tcPr>
          <w:p w14:paraId="668C4C29" w14:textId="0C1D4961" w:rsidR="00E242D5" w:rsidRPr="000369B5" w:rsidRDefault="00C1082A" w:rsidP="00E72ACB">
            <w:pPr>
              <w:jc w:val="center"/>
              <w:rPr>
                <w:color w:val="FF0000"/>
              </w:rPr>
            </w:pPr>
            <w:r>
              <w:t>4</w:t>
            </w:r>
          </w:p>
        </w:tc>
        <w:tc>
          <w:tcPr>
            <w:tcW w:w="1489" w:type="dxa"/>
          </w:tcPr>
          <w:p w14:paraId="2F52BFC0" w14:textId="597F1711" w:rsidR="00E242D5" w:rsidRPr="00C1082A" w:rsidRDefault="00C1082A" w:rsidP="00E72ACB">
            <w:pPr>
              <w:jc w:val="center"/>
            </w:pPr>
            <w:r>
              <w:t>30</w:t>
            </w:r>
          </w:p>
        </w:tc>
        <w:tc>
          <w:tcPr>
            <w:tcW w:w="1204" w:type="dxa"/>
          </w:tcPr>
          <w:p w14:paraId="1492F016" w14:textId="5410C8CB" w:rsidR="00E242D5" w:rsidRPr="00C1082A" w:rsidRDefault="00E72ACB" w:rsidP="00E72ACB">
            <w:pPr>
              <w:jc w:val="center"/>
            </w:pPr>
            <w:r w:rsidRPr="00C1082A">
              <w:t>0</w:t>
            </w:r>
          </w:p>
        </w:tc>
        <w:tc>
          <w:tcPr>
            <w:tcW w:w="1205" w:type="dxa"/>
          </w:tcPr>
          <w:p w14:paraId="64112C78" w14:textId="0319833A" w:rsidR="00E242D5" w:rsidRPr="00C1082A" w:rsidRDefault="00E72ACB" w:rsidP="00E72ACB">
            <w:pPr>
              <w:jc w:val="center"/>
            </w:pPr>
            <w:r w:rsidRPr="00C1082A">
              <w:t>0</w:t>
            </w:r>
          </w:p>
        </w:tc>
      </w:tr>
      <w:tr w:rsidR="00E242D5" w14:paraId="16940697" w14:textId="77777777" w:rsidTr="00E242D5">
        <w:tc>
          <w:tcPr>
            <w:tcW w:w="3388" w:type="dxa"/>
          </w:tcPr>
          <w:p w14:paraId="2DB7DCBB" w14:textId="088D1A86" w:rsidR="00E242D5" w:rsidRPr="00CD3D87" w:rsidRDefault="00CD3D87" w:rsidP="00CD3D87">
            <w:pPr>
              <w:jc w:val="right"/>
              <w:rPr>
                <w:b/>
                <w:bCs/>
              </w:rPr>
            </w:pPr>
            <w:r w:rsidRPr="00CD3D87">
              <w:rPr>
                <w:b/>
                <w:bCs/>
              </w:rPr>
              <w:t>NCC Norge AS</w:t>
            </w:r>
          </w:p>
        </w:tc>
        <w:tc>
          <w:tcPr>
            <w:tcW w:w="1847" w:type="dxa"/>
          </w:tcPr>
          <w:p w14:paraId="019BC9AE" w14:textId="5C9EB5BA" w:rsidR="00E242D5" w:rsidRPr="000369B5" w:rsidRDefault="00B62397" w:rsidP="00E72ACB">
            <w:pPr>
              <w:jc w:val="center"/>
              <w:rPr>
                <w:color w:val="FF0000"/>
              </w:rPr>
            </w:pPr>
            <w:r w:rsidRPr="00B62397">
              <w:t>152</w:t>
            </w:r>
          </w:p>
        </w:tc>
        <w:tc>
          <w:tcPr>
            <w:tcW w:w="1848" w:type="dxa"/>
          </w:tcPr>
          <w:p w14:paraId="5094C039" w14:textId="3042F245" w:rsidR="00E242D5" w:rsidRPr="000369B5" w:rsidRDefault="00B62397" w:rsidP="00E72ACB">
            <w:pPr>
              <w:jc w:val="center"/>
              <w:rPr>
                <w:color w:val="FF0000"/>
              </w:rPr>
            </w:pPr>
            <w:r w:rsidRPr="00B62397">
              <w:t>776</w:t>
            </w:r>
          </w:p>
        </w:tc>
        <w:tc>
          <w:tcPr>
            <w:tcW w:w="1134" w:type="dxa"/>
          </w:tcPr>
          <w:p w14:paraId="759F2465" w14:textId="09A2E699" w:rsidR="00E242D5" w:rsidRPr="000369B5" w:rsidRDefault="00B62397" w:rsidP="00E72ACB">
            <w:pPr>
              <w:jc w:val="center"/>
              <w:rPr>
                <w:color w:val="FF0000"/>
              </w:rPr>
            </w:pPr>
            <w:r w:rsidRPr="00B62397">
              <w:t>4</w:t>
            </w:r>
          </w:p>
        </w:tc>
        <w:tc>
          <w:tcPr>
            <w:tcW w:w="1134" w:type="dxa"/>
          </w:tcPr>
          <w:p w14:paraId="75442C40" w14:textId="4335451C" w:rsidR="00E242D5" w:rsidRPr="000369B5" w:rsidRDefault="00B62397" w:rsidP="00E72ACB">
            <w:pPr>
              <w:jc w:val="center"/>
              <w:rPr>
                <w:color w:val="FF0000"/>
              </w:rPr>
            </w:pPr>
            <w:r w:rsidRPr="00B62397">
              <w:t>4</w:t>
            </w:r>
          </w:p>
        </w:tc>
        <w:tc>
          <w:tcPr>
            <w:tcW w:w="1488" w:type="dxa"/>
          </w:tcPr>
          <w:p w14:paraId="5362934D" w14:textId="1938BD92" w:rsidR="00E242D5" w:rsidRPr="00C1082A" w:rsidRDefault="00C1082A" w:rsidP="00577318">
            <w:pPr>
              <w:jc w:val="center"/>
            </w:pPr>
            <w:r>
              <w:t>13</w:t>
            </w:r>
          </w:p>
        </w:tc>
        <w:tc>
          <w:tcPr>
            <w:tcW w:w="1489" w:type="dxa"/>
          </w:tcPr>
          <w:p w14:paraId="07B9DB26" w14:textId="13D9FC7E" w:rsidR="00E242D5" w:rsidRPr="00C1082A" w:rsidRDefault="00C1082A" w:rsidP="0081729A">
            <w:pPr>
              <w:jc w:val="center"/>
            </w:pPr>
            <w:r>
              <w:t>31</w:t>
            </w:r>
          </w:p>
        </w:tc>
        <w:tc>
          <w:tcPr>
            <w:tcW w:w="1204" w:type="dxa"/>
          </w:tcPr>
          <w:p w14:paraId="0019030C" w14:textId="22F3EEB6" w:rsidR="00E242D5" w:rsidRPr="00C1082A" w:rsidRDefault="00E72ACB" w:rsidP="00E72ACB">
            <w:pPr>
              <w:jc w:val="center"/>
            </w:pPr>
            <w:r w:rsidRPr="00C1082A">
              <w:t>0</w:t>
            </w:r>
          </w:p>
        </w:tc>
        <w:tc>
          <w:tcPr>
            <w:tcW w:w="1205" w:type="dxa"/>
          </w:tcPr>
          <w:p w14:paraId="5A968659" w14:textId="04CC0A03" w:rsidR="00E242D5" w:rsidRPr="00C1082A" w:rsidRDefault="00E72ACB" w:rsidP="00E72ACB">
            <w:pPr>
              <w:jc w:val="center"/>
            </w:pPr>
            <w:r w:rsidRPr="00C1082A">
              <w:t>0</w:t>
            </w:r>
          </w:p>
        </w:tc>
      </w:tr>
      <w:tr w:rsidR="00E242D5" w14:paraId="561E9BD9" w14:textId="77777777" w:rsidTr="00E242D5">
        <w:tc>
          <w:tcPr>
            <w:tcW w:w="3388" w:type="dxa"/>
          </w:tcPr>
          <w:p w14:paraId="2F72F10B" w14:textId="77777777" w:rsidR="00E242D5" w:rsidRDefault="00E242D5"/>
        </w:tc>
        <w:tc>
          <w:tcPr>
            <w:tcW w:w="1847" w:type="dxa"/>
          </w:tcPr>
          <w:p w14:paraId="6795FDC6" w14:textId="6A5F1DF7" w:rsidR="00E242D5" w:rsidRPr="00941D83" w:rsidRDefault="009103FD" w:rsidP="000065AD">
            <w:pPr>
              <w:jc w:val="center"/>
            </w:pPr>
            <w:r w:rsidRPr="00941D83">
              <w:t>14,5 %</w:t>
            </w:r>
          </w:p>
        </w:tc>
        <w:tc>
          <w:tcPr>
            <w:tcW w:w="1848" w:type="dxa"/>
          </w:tcPr>
          <w:p w14:paraId="0035796A" w14:textId="343F1840" w:rsidR="00E242D5" w:rsidRPr="00941D83" w:rsidRDefault="009103FD" w:rsidP="000065AD">
            <w:pPr>
              <w:jc w:val="center"/>
            </w:pPr>
            <w:r w:rsidRPr="00941D83">
              <w:t>85,</w:t>
            </w:r>
            <w:r w:rsidR="00E25863" w:rsidRPr="00941D83">
              <w:t>5</w:t>
            </w:r>
            <w:r w:rsidRPr="00941D83">
              <w:t xml:space="preserve"> %</w:t>
            </w:r>
          </w:p>
        </w:tc>
        <w:tc>
          <w:tcPr>
            <w:tcW w:w="1134" w:type="dxa"/>
          </w:tcPr>
          <w:p w14:paraId="1E7F7AE0" w14:textId="0D8E7F1E" w:rsidR="00E242D5" w:rsidRPr="00941D83" w:rsidRDefault="009103FD" w:rsidP="009103FD">
            <w:pPr>
              <w:jc w:val="right"/>
            </w:pPr>
            <w:r w:rsidRPr="00941D83">
              <w:t>0,5 %</w:t>
            </w:r>
          </w:p>
        </w:tc>
        <w:tc>
          <w:tcPr>
            <w:tcW w:w="1134" w:type="dxa"/>
          </w:tcPr>
          <w:p w14:paraId="1B99B307" w14:textId="6814B924" w:rsidR="00E242D5" w:rsidRPr="00941D83" w:rsidRDefault="009103FD" w:rsidP="000065AD">
            <w:pPr>
              <w:jc w:val="center"/>
            </w:pPr>
            <w:r w:rsidRPr="00941D83">
              <w:t>0,43 %</w:t>
            </w:r>
          </w:p>
        </w:tc>
        <w:tc>
          <w:tcPr>
            <w:tcW w:w="1488" w:type="dxa"/>
          </w:tcPr>
          <w:p w14:paraId="7275D8A0" w14:textId="450C0B93" w:rsidR="00E242D5" w:rsidRPr="00941D83" w:rsidRDefault="005B2C45" w:rsidP="005B2C45">
            <w:pPr>
              <w:jc w:val="center"/>
            </w:pPr>
            <w:r w:rsidRPr="00941D83">
              <w:t>22%</w:t>
            </w:r>
          </w:p>
        </w:tc>
        <w:tc>
          <w:tcPr>
            <w:tcW w:w="1489" w:type="dxa"/>
          </w:tcPr>
          <w:p w14:paraId="2E045E19" w14:textId="076049DE" w:rsidR="00E242D5" w:rsidRPr="00941D83" w:rsidRDefault="005B2C45" w:rsidP="005B2C45">
            <w:pPr>
              <w:jc w:val="center"/>
            </w:pPr>
            <w:r w:rsidRPr="00941D83">
              <w:t>78 %</w:t>
            </w:r>
          </w:p>
        </w:tc>
        <w:tc>
          <w:tcPr>
            <w:tcW w:w="1204" w:type="dxa"/>
          </w:tcPr>
          <w:p w14:paraId="789AB52D" w14:textId="58262A85" w:rsidR="00E242D5" w:rsidRPr="00941D83" w:rsidRDefault="000065AD" w:rsidP="000065AD">
            <w:pPr>
              <w:jc w:val="center"/>
            </w:pPr>
            <w:r w:rsidRPr="00941D83">
              <w:t>0 %</w:t>
            </w:r>
          </w:p>
        </w:tc>
        <w:tc>
          <w:tcPr>
            <w:tcW w:w="1205" w:type="dxa"/>
          </w:tcPr>
          <w:p w14:paraId="62258638" w14:textId="0F3C7455" w:rsidR="00E242D5" w:rsidRPr="00941D83" w:rsidRDefault="000065AD" w:rsidP="000065AD">
            <w:pPr>
              <w:jc w:val="center"/>
            </w:pPr>
            <w:r w:rsidRPr="00941D83">
              <w:t>0%</w:t>
            </w:r>
          </w:p>
        </w:tc>
      </w:tr>
      <w:tr w:rsidR="00E242D5" w14:paraId="0F44A60B" w14:textId="77777777" w:rsidTr="00E242D5">
        <w:tc>
          <w:tcPr>
            <w:tcW w:w="3388" w:type="dxa"/>
          </w:tcPr>
          <w:p w14:paraId="7901F8E7" w14:textId="2CB82A2B" w:rsidR="00E242D5" w:rsidRDefault="00E242D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D5214">
              <w:rPr>
                <w:b/>
                <w:bCs/>
                <w:i/>
                <w:iCs/>
                <w:sz w:val="28"/>
                <w:szCs w:val="28"/>
              </w:rPr>
              <w:t>Redergjørelsesplikten</w:t>
            </w:r>
          </w:p>
          <w:p w14:paraId="09564D88" w14:textId="113A6281" w:rsidR="00E242D5" w:rsidRDefault="00E2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 kvinneandel er en </w:t>
            </w:r>
            <w:r w:rsidR="00CD3D87">
              <w:rPr>
                <w:sz w:val="18"/>
                <w:szCs w:val="18"/>
              </w:rPr>
              <w:t>bransjeutfordring,</w:t>
            </w:r>
            <w:r>
              <w:rPr>
                <w:sz w:val="18"/>
                <w:szCs w:val="18"/>
              </w:rPr>
              <w:t xml:space="preserve"> noe også NCC gjenspeiler. Konsernet jobber for større mangfold i </w:t>
            </w:r>
            <w:r w:rsidR="00CD3D87">
              <w:rPr>
                <w:sz w:val="18"/>
                <w:szCs w:val="18"/>
              </w:rPr>
              <w:t>arbeidsstyrken,</w:t>
            </w:r>
            <w:r>
              <w:rPr>
                <w:sz w:val="18"/>
                <w:szCs w:val="18"/>
              </w:rPr>
              <w:t xml:space="preserve"> med særlig oppmerksomhet rettet mot bedre kjønnsbalanse og å øke andelen </w:t>
            </w:r>
            <w:r w:rsidR="001C62F4">
              <w:rPr>
                <w:sz w:val="18"/>
                <w:szCs w:val="18"/>
              </w:rPr>
              <w:t xml:space="preserve">operative </w:t>
            </w:r>
            <w:r>
              <w:rPr>
                <w:sz w:val="18"/>
                <w:szCs w:val="18"/>
              </w:rPr>
              <w:t>kvinnelige</w:t>
            </w:r>
            <w:r w:rsidR="007C603B">
              <w:rPr>
                <w:sz w:val="18"/>
                <w:szCs w:val="18"/>
              </w:rPr>
              <w:t xml:space="preserve"> ledere</w:t>
            </w:r>
            <w:r w:rsidR="006453CF">
              <w:rPr>
                <w:sz w:val="18"/>
                <w:szCs w:val="18"/>
              </w:rPr>
              <w:t>.</w:t>
            </w:r>
          </w:p>
          <w:p w14:paraId="6744F7D6" w14:textId="77777777" w:rsidR="001C62F4" w:rsidRDefault="001C62F4">
            <w:pPr>
              <w:rPr>
                <w:sz w:val="18"/>
                <w:szCs w:val="18"/>
              </w:rPr>
            </w:pPr>
          </w:p>
          <w:p w14:paraId="7232C19F" w14:textId="509B3DA9" w:rsidR="001C62F4" w:rsidRDefault="001C6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har vært stor oppmerksomhet om</w:t>
            </w:r>
            <w:r w:rsidR="00CD3D87">
              <w:rPr>
                <w:sz w:val="18"/>
                <w:szCs w:val="18"/>
              </w:rPr>
              <w:t>kring</w:t>
            </w:r>
            <w:r>
              <w:rPr>
                <w:sz w:val="18"/>
                <w:szCs w:val="18"/>
              </w:rPr>
              <w:t xml:space="preserve"> rekruttering av kvinner til de fleste funksjoner selskapet og særlig til operative lederroller. Likevel har kvinneandelen i NCC vært stabil i flere år</w:t>
            </w:r>
            <w:r w:rsidR="00CD3D87">
              <w:rPr>
                <w:sz w:val="18"/>
                <w:szCs w:val="18"/>
              </w:rPr>
              <w:t xml:space="preserve">. Selskapet vil øke rekruttering av nyutdannede fra høyskoler med 25 %, med </w:t>
            </w:r>
            <w:proofErr w:type="gramStart"/>
            <w:r w:rsidR="00CD3D87">
              <w:rPr>
                <w:sz w:val="18"/>
                <w:szCs w:val="18"/>
              </w:rPr>
              <w:t>fokus</w:t>
            </w:r>
            <w:proofErr w:type="gramEnd"/>
            <w:r w:rsidR="00CD3D87">
              <w:rPr>
                <w:sz w:val="18"/>
                <w:szCs w:val="18"/>
              </w:rPr>
              <w:t xml:space="preserve"> på å høyne kvinnelig andel nyutdannede, som er en viktig rekrutteringskilde til operative lederroller. </w:t>
            </w:r>
          </w:p>
          <w:p w14:paraId="0C712341" w14:textId="77777777" w:rsidR="00CD3D87" w:rsidRDefault="00CD3D87">
            <w:pPr>
              <w:rPr>
                <w:sz w:val="18"/>
                <w:szCs w:val="18"/>
              </w:rPr>
            </w:pPr>
          </w:p>
          <w:p w14:paraId="328E6AAA" w14:textId="68747D0D" w:rsidR="00CD3D87" w:rsidRDefault="00CD3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="00E566A4">
              <w:rPr>
                <w:sz w:val="18"/>
                <w:szCs w:val="18"/>
              </w:rPr>
              <w:t xml:space="preserve">t </w:t>
            </w:r>
            <w:r>
              <w:rPr>
                <w:sz w:val="18"/>
                <w:szCs w:val="18"/>
              </w:rPr>
              <w:t>sees en positiv utvikling i kvinnelige lærlinger som tilskrives en generell oppmerksomhet rundt viktigheten av yrkesfag og spesiell større oppmerksomhet om å rekruttere kvinner til disse fagområdene.</w:t>
            </w:r>
          </w:p>
          <w:p w14:paraId="73DA6ECC" w14:textId="77777777" w:rsidR="00E242D5" w:rsidRDefault="00E242D5"/>
        </w:tc>
        <w:tc>
          <w:tcPr>
            <w:tcW w:w="1847" w:type="dxa"/>
          </w:tcPr>
          <w:p w14:paraId="1DD98C36" w14:textId="77777777" w:rsidR="00E242D5" w:rsidRDefault="00E242D5"/>
        </w:tc>
        <w:tc>
          <w:tcPr>
            <w:tcW w:w="1848" w:type="dxa"/>
          </w:tcPr>
          <w:p w14:paraId="3DE4B016" w14:textId="77777777" w:rsidR="00E242D5" w:rsidRDefault="00E242D5"/>
        </w:tc>
        <w:tc>
          <w:tcPr>
            <w:tcW w:w="1134" w:type="dxa"/>
          </w:tcPr>
          <w:p w14:paraId="094405E0" w14:textId="77777777" w:rsidR="00E242D5" w:rsidRDefault="00E242D5"/>
        </w:tc>
        <w:tc>
          <w:tcPr>
            <w:tcW w:w="1134" w:type="dxa"/>
          </w:tcPr>
          <w:p w14:paraId="11A2199A" w14:textId="77777777" w:rsidR="00E242D5" w:rsidRDefault="00E242D5"/>
        </w:tc>
        <w:tc>
          <w:tcPr>
            <w:tcW w:w="1488" w:type="dxa"/>
          </w:tcPr>
          <w:p w14:paraId="12BCD767" w14:textId="77777777" w:rsidR="00E242D5" w:rsidRDefault="00E242D5" w:rsidP="0081729A">
            <w:pPr>
              <w:jc w:val="center"/>
            </w:pPr>
          </w:p>
        </w:tc>
        <w:tc>
          <w:tcPr>
            <w:tcW w:w="1489" w:type="dxa"/>
          </w:tcPr>
          <w:p w14:paraId="71A05591" w14:textId="77777777" w:rsidR="00E242D5" w:rsidRDefault="00E242D5"/>
        </w:tc>
        <w:tc>
          <w:tcPr>
            <w:tcW w:w="1204" w:type="dxa"/>
          </w:tcPr>
          <w:p w14:paraId="2EFFA2FF" w14:textId="77777777" w:rsidR="00E242D5" w:rsidRDefault="00E242D5"/>
        </w:tc>
        <w:tc>
          <w:tcPr>
            <w:tcW w:w="1205" w:type="dxa"/>
          </w:tcPr>
          <w:p w14:paraId="201CEC47" w14:textId="77777777" w:rsidR="00E242D5" w:rsidRDefault="00E242D5"/>
        </w:tc>
      </w:tr>
    </w:tbl>
    <w:p w14:paraId="15C4E528" w14:textId="545D0074" w:rsidR="00102FCC" w:rsidRPr="00102FCC" w:rsidRDefault="008462A4" w:rsidP="00102FC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</w:t>
      </w:r>
      <w:r w:rsidR="008D25EB">
        <w:rPr>
          <w:b/>
          <w:bCs/>
          <w:sz w:val="18"/>
          <w:szCs w:val="18"/>
        </w:rPr>
        <w:t>M</w:t>
      </w:r>
      <w:r w:rsidR="00541852" w:rsidRPr="00541852">
        <w:rPr>
          <w:b/>
          <w:bCs/>
          <w:sz w:val="18"/>
          <w:szCs w:val="18"/>
        </w:rPr>
        <w:t xml:space="preserve">erk: Midlertidig ansatte er </w:t>
      </w:r>
      <w:r w:rsidR="00BF35C5">
        <w:rPr>
          <w:b/>
          <w:bCs/>
          <w:sz w:val="18"/>
          <w:szCs w:val="18"/>
        </w:rPr>
        <w:t xml:space="preserve">vikarer </w:t>
      </w:r>
      <w:proofErr w:type="spellStart"/>
      <w:r w:rsidR="00BF35C5">
        <w:rPr>
          <w:b/>
          <w:bCs/>
          <w:sz w:val="18"/>
          <w:szCs w:val="18"/>
        </w:rPr>
        <w:t>ifm</w:t>
      </w:r>
      <w:proofErr w:type="spellEnd"/>
      <w:r w:rsidR="00BF35C5">
        <w:rPr>
          <w:b/>
          <w:bCs/>
          <w:sz w:val="18"/>
          <w:szCs w:val="18"/>
        </w:rPr>
        <w:t xml:space="preserve"> langtidssykefravær</w:t>
      </w:r>
      <w:r w:rsidR="00541852" w:rsidRPr="00541852">
        <w:rPr>
          <w:b/>
          <w:bCs/>
          <w:sz w:val="18"/>
          <w:szCs w:val="18"/>
        </w:rPr>
        <w:t xml:space="preserve"> </w:t>
      </w:r>
      <w:r w:rsidR="006708FE">
        <w:rPr>
          <w:b/>
          <w:bCs/>
          <w:sz w:val="18"/>
          <w:szCs w:val="18"/>
        </w:rPr>
        <w:t>og kortidsprosjekter</w:t>
      </w:r>
      <w:r w:rsidR="00BD10FA">
        <w:rPr>
          <w:b/>
          <w:bCs/>
          <w:sz w:val="18"/>
          <w:szCs w:val="18"/>
        </w:rPr>
        <w:t>.</w:t>
      </w:r>
      <w:r w:rsidR="00102FCC">
        <w:rPr>
          <w:b/>
          <w:bCs/>
          <w:sz w:val="18"/>
          <w:szCs w:val="18"/>
        </w:rPr>
        <w:t xml:space="preserve"> * </w:t>
      </w:r>
      <w:r w:rsidR="00102FCC" w:rsidRPr="00102FCC">
        <w:rPr>
          <w:b/>
          <w:bCs/>
          <w:sz w:val="18"/>
          <w:szCs w:val="18"/>
        </w:rPr>
        <w:t xml:space="preserve">Våre datterselskaper med over 50 ansatte rapporterer selvstendig i henhold til regelverket. </w:t>
      </w:r>
    </w:p>
    <w:p w14:paraId="21B9CD82" w14:textId="3D97DFB6" w:rsidR="00541852" w:rsidRDefault="00541852" w:rsidP="00541852">
      <w:pPr>
        <w:rPr>
          <w:b/>
          <w:bCs/>
          <w:sz w:val="18"/>
          <w:szCs w:val="18"/>
        </w:rPr>
      </w:pPr>
    </w:p>
    <w:p w14:paraId="241828E9" w14:textId="6CD6A4A1" w:rsidR="00817D30" w:rsidRDefault="00817D30">
      <w:pPr>
        <w:rPr>
          <w:sz w:val="28"/>
          <w:szCs w:val="28"/>
        </w:rPr>
      </w:pPr>
    </w:p>
    <w:p w14:paraId="3D2D939B" w14:textId="44880FE8" w:rsidR="00E566A4" w:rsidRPr="00E566A4" w:rsidRDefault="00E566A4">
      <w:pPr>
        <w:rPr>
          <w:b/>
          <w:bCs/>
          <w:sz w:val="24"/>
          <w:szCs w:val="24"/>
        </w:rPr>
      </w:pPr>
      <w:proofErr w:type="gramStart"/>
      <w:r w:rsidRPr="00E566A4">
        <w:rPr>
          <w:b/>
          <w:bCs/>
          <w:sz w:val="24"/>
          <w:szCs w:val="24"/>
        </w:rPr>
        <w:t xml:space="preserve">Kjønnsbalanse </w:t>
      </w:r>
      <w:r>
        <w:rPr>
          <w:b/>
          <w:bCs/>
          <w:sz w:val="24"/>
          <w:szCs w:val="24"/>
        </w:rPr>
        <w:t>:</w:t>
      </w:r>
      <w:proofErr w:type="gramEnd"/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2547"/>
        <w:gridCol w:w="2409"/>
        <w:gridCol w:w="2410"/>
        <w:gridCol w:w="6805"/>
      </w:tblGrid>
      <w:tr w:rsidR="00234FF7" w14:paraId="43046609" w14:textId="77777777" w:rsidTr="00234FF7">
        <w:trPr>
          <w:trHeight w:val="298"/>
        </w:trPr>
        <w:tc>
          <w:tcPr>
            <w:tcW w:w="2547" w:type="dxa"/>
          </w:tcPr>
          <w:p w14:paraId="5DA3504A" w14:textId="77777777" w:rsidR="00234FF7" w:rsidRDefault="00234FF7"/>
        </w:tc>
        <w:tc>
          <w:tcPr>
            <w:tcW w:w="4819" w:type="dxa"/>
            <w:gridSpan w:val="2"/>
          </w:tcPr>
          <w:p w14:paraId="5D4C0C1C" w14:textId="33D6DC3B" w:rsidR="00234FF7" w:rsidRPr="00234FF7" w:rsidRDefault="000065AD" w:rsidP="0023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vis k</w:t>
            </w:r>
            <w:r w:rsidR="00234FF7" w:rsidRPr="00234FF7">
              <w:rPr>
                <w:b/>
                <w:bCs/>
              </w:rPr>
              <w:t>jønnsfordeling på ulike stillingsnivåer</w:t>
            </w:r>
          </w:p>
        </w:tc>
        <w:tc>
          <w:tcPr>
            <w:tcW w:w="6805" w:type="dxa"/>
          </w:tcPr>
          <w:p w14:paraId="49797739" w14:textId="1F28F9BA" w:rsidR="00234FF7" w:rsidRPr="00703DBB" w:rsidRDefault="00234FF7" w:rsidP="00703DBB">
            <w:pPr>
              <w:jc w:val="center"/>
              <w:rPr>
                <w:b/>
                <w:bCs/>
              </w:rPr>
            </w:pPr>
            <w:r w:rsidRPr="00703DBB">
              <w:rPr>
                <w:b/>
                <w:bCs/>
              </w:rPr>
              <w:t>Lønnsforskjeller – kvinners andel menns lønn oppgitt i prosent basert på avtalt fastlønn</w:t>
            </w:r>
          </w:p>
        </w:tc>
      </w:tr>
      <w:tr w:rsidR="00234FF7" w14:paraId="59ECCD81" w14:textId="77777777" w:rsidTr="00234FF7">
        <w:trPr>
          <w:trHeight w:val="48"/>
        </w:trPr>
        <w:tc>
          <w:tcPr>
            <w:tcW w:w="2547" w:type="dxa"/>
          </w:tcPr>
          <w:p w14:paraId="1ACB34D3" w14:textId="77777777" w:rsidR="00234FF7" w:rsidRDefault="00234FF7"/>
        </w:tc>
        <w:tc>
          <w:tcPr>
            <w:tcW w:w="2409" w:type="dxa"/>
          </w:tcPr>
          <w:p w14:paraId="14D16DF5" w14:textId="67756A79" w:rsidR="00234FF7" w:rsidRPr="00234FF7" w:rsidRDefault="00234FF7" w:rsidP="005B2C45">
            <w:pPr>
              <w:jc w:val="center"/>
              <w:rPr>
                <w:b/>
                <w:bCs/>
              </w:rPr>
            </w:pPr>
            <w:r w:rsidRPr="00234FF7">
              <w:rPr>
                <w:b/>
                <w:bCs/>
              </w:rPr>
              <w:t>Kvinner</w:t>
            </w:r>
          </w:p>
        </w:tc>
        <w:tc>
          <w:tcPr>
            <w:tcW w:w="2410" w:type="dxa"/>
          </w:tcPr>
          <w:p w14:paraId="00B6360F" w14:textId="267982E6" w:rsidR="00234FF7" w:rsidRPr="00234FF7" w:rsidRDefault="00234FF7" w:rsidP="005B2C45">
            <w:pPr>
              <w:jc w:val="center"/>
              <w:rPr>
                <w:b/>
                <w:bCs/>
              </w:rPr>
            </w:pPr>
            <w:r w:rsidRPr="00234FF7">
              <w:rPr>
                <w:b/>
                <w:bCs/>
              </w:rPr>
              <w:t>Menn</w:t>
            </w:r>
          </w:p>
        </w:tc>
        <w:tc>
          <w:tcPr>
            <w:tcW w:w="6805" w:type="dxa"/>
          </w:tcPr>
          <w:p w14:paraId="694481CA" w14:textId="77777777" w:rsidR="00234FF7" w:rsidRDefault="00234FF7"/>
        </w:tc>
      </w:tr>
      <w:tr w:rsidR="00703DBB" w14:paraId="41BBDB43" w14:textId="77777777" w:rsidTr="00CD22FF">
        <w:trPr>
          <w:trHeight w:val="298"/>
        </w:trPr>
        <w:tc>
          <w:tcPr>
            <w:tcW w:w="2547" w:type="dxa"/>
          </w:tcPr>
          <w:p w14:paraId="1C9E6A02" w14:textId="47CA49CC" w:rsidR="00703DBB" w:rsidRDefault="00703DBB">
            <w:r>
              <w:t xml:space="preserve">Total </w:t>
            </w:r>
          </w:p>
        </w:tc>
        <w:tc>
          <w:tcPr>
            <w:tcW w:w="2409" w:type="dxa"/>
          </w:tcPr>
          <w:p w14:paraId="57AD858A" w14:textId="46FBBBD9" w:rsidR="00703DBB" w:rsidRDefault="00E25863" w:rsidP="00E25863">
            <w:pPr>
              <w:jc w:val="center"/>
            </w:pPr>
            <w:r>
              <w:t>14,5 %</w:t>
            </w:r>
          </w:p>
        </w:tc>
        <w:tc>
          <w:tcPr>
            <w:tcW w:w="2410" w:type="dxa"/>
          </w:tcPr>
          <w:p w14:paraId="04557E03" w14:textId="56424271" w:rsidR="00703DBB" w:rsidRDefault="00E25863" w:rsidP="00E25863">
            <w:pPr>
              <w:jc w:val="center"/>
            </w:pPr>
            <w:r>
              <w:t>85,5 %</w:t>
            </w:r>
          </w:p>
        </w:tc>
        <w:tc>
          <w:tcPr>
            <w:tcW w:w="6805" w:type="dxa"/>
          </w:tcPr>
          <w:p w14:paraId="5ECFDDCE" w14:textId="20E2ACA4" w:rsidR="00703DBB" w:rsidRDefault="00986BC6" w:rsidP="00986BC6">
            <w:pPr>
              <w:jc w:val="center"/>
            </w:pPr>
            <w:r>
              <w:t>92 %</w:t>
            </w:r>
          </w:p>
        </w:tc>
      </w:tr>
      <w:tr w:rsidR="00703DBB" w14:paraId="096F4274" w14:textId="77777777" w:rsidTr="001D14B5">
        <w:trPr>
          <w:trHeight w:val="298"/>
        </w:trPr>
        <w:tc>
          <w:tcPr>
            <w:tcW w:w="2547" w:type="dxa"/>
          </w:tcPr>
          <w:p w14:paraId="5ED76A7C" w14:textId="7C6BEF59" w:rsidR="00703DBB" w:rsidRDefault="002E256D">
            <w:r>
              <w:t>Divisjonsledelse</w:t>
            </w:r>
          </w:p>
        </w:tc>
        <w:tc>
          <w:tcPr>
            <w:tcW w:w="2409" w:type="dxa"/>
          </w:tcPr>
          <w:p w14:paraId="597E0019" w14:textId="4269F7C6" w:rsidR="00703DBB" w:rsidRDefault="00E25863" w:rsidP="00E25863">
            <w:pPr>
              <w:jc w:val="center"/>
            </w:pPr>
            <w:r>
              <w:t>0 %</w:t>
            </w:r>
          </w:p>
        </w:tc>
        <w:tc>
          <w:tcPr>
            <w:tcW w:w="2410" w:type="dxa"/>
          </w:tcPr>
          <w:p w14:paraId="091D0C63" w14:textId="3CFA40E1" w:rsidR="00703DBB" w:rsidRDefault="00E25863" w:rsidP="00E25863">
            <w:pPr>
              <w:jc w:val="center"/>
            </w:pPr>
            <w:r>
              <w:t>100 %</w:t>
            </w:r>
          </w:p>
        </w:tc>
        <w:tc>
          <w:tcPr>
            <w:tcW w:w="6805" w:type="dxa"/>
          </w:tcPr>
          <w:p w14:paraId="3A70F6AD" w14:textId="77777777" w:rsidR="00703DBB" w:rsidRDefault="00703DBB"/>
        </w:tc>
      </w:tr>
      <w:tr w:rsidR="00703DBB" w14:paraId="3D963AFD" w14:textId="77777777" w:rsidTr="00E078B5">
        <w:trPr>
          <w:trHeight w:val="298"/>
        </w:trPr>
        <w:tc>
          <w:tcPr>
            <w:tcW w:w="2547" w:type="dxa"/>
          </w:tcPr>
          <w:p w14:paraId="0C550D72" w14:textId="638A7278" w:rsidR="00703DBB" w:rsidRDefault="00703DBB">
            <w:r>
              <w:t>Ledere</w:t>
            </w:r>
          </w:p>
        </w:tc>
        <w:tc>
          <w:tcPr>
            <w:tcW w:w="2409" w:type="dxa"/>
          </w:tcPr>
          <w:p w14:paraId="55B82E2E" w14:textId="3A45AE9F" w:rsidR="00703DBB" w:rsidRDefault="000A75D1" w:rsidP="00E25863">
            <w:pPr>
              <w:jc w:val="center"/>
            </w:pPr>
            <w:r>
              <w:t>22 %</w:t>
            </w:r>
          </w:p>
        </w:tc>
        <w:tc>
          <w:tcPr>
            <w:tcW w:w="2410" w:type="dxa"/>
          </w:tcPr>
          <w:p w14:paraId="35F195D2" w14:textId="0806D3C3" w:rsidR="00703DBB" w:rsidRDefault="000A75D1" w:rsidP="00E25863">
            <w:pPr>
              <w:jc w:val="center"/>
            </w:pPr>
            <w:r>
              <w:t xml:space="preserve">78 % </w:t>
            </w:r>
            <w:r w:rsidR="00986BC6">
              <w:t xml:space="preserve"> </w:t>
            </w:r>
          </w:p>
        </w:tc>
        <w:tc>
          <w:tcPr>
            <w:tcW w:w="6805" w:type="dxa"/>
          </w:tcPr>
          <w:p w14:paraId="100D771A" w14:textId="1FA5728D" w:rsidR="00703DBB" w:rsidRDefault="00986BC6" w:rsidP="00986BC6">
            <w:pPr>
              <w:jc w:val="center"/>
            </w:pPr>
            <w:r>
              <w:t>104 %</w:t>
            </w:r>
          </w:p>
        </w:tc>
      </w:tr>
      <w:tr w:rsidR="00703DBB" w14:paraId="429249C7" w14:textId="77777777" w:rsidTr="00271D74">
        <w:trPr>
          <w:trHeight w:val="287"/>
        </w:trPr>
        <w:tc>
          <w:tcPr>
            <w:tcW w:w="2547" w:type="dxa"/>
          </w:tcPr>
          <w:p w14:paraId="4761DE24" w14:textId="79A55080" w:rsidR="00703DBB" w:rsidRDefault="00703DBB">
            <w:r>
              <w:t>Prosjektledere</w:t>
            </w:r>
          </w:p>
        </w:tc>
        <w:tc>
          <w:tcPr>
            <w:tcW w:w="2409" w:type="dxa"/>
          </w:tcPr>
          <w:p w14:paraId="5C354B39" w14:textId="7C9BF318" w:rsidR="00703DBB" w:rsidRDefault="007E1397" w:rsidP="00E25863">
            <w:pPr>
              <w:jc w:val="center"/>
            </w:pPr>
            <w:r>
              <w:t>13,6 %</w:t>
            </w:r>
          </w:p>
        </w:tc>
        <w:tc>
          <w:tcPr>
            <w:tcW w:w="2410" w:type="dxa"/>
          </w:tcPr>
          <w:p w14:paraId="1093E9F1" w14:textId="284534F8" w:rsidR="00703DBB" w:rsidRDefault="007E1397" w:rsidP="00E25863">
            <w:pPr>
              <w:jc w:val="center"/>
            </w:pPr>
            <w:r>
              <w:t>86,4%</w:t>
            </w:r>
          </w:p>
        </w:tc>
        <w:tc>
          <w:tcPr>
            <w:tcW w:w="6805" w:type="dxa"/>
          </w:tcPr>
          <w:p w14:paraId="15827462" w14:textId="49898EA8" w:rsidR="00703DBB" w:rsidRDefault="007E1397" w:rsidP="007E1397">
            <w:pPr>
              <w:jc w:val="center"/>
            </w:pPr>
            <w:r>
              <w:t>97 %</w:t>
            </w:r>
          </w:p>
        </w:tc>
      </w:tr>
      <w:tr w:rsidR="00703DBB" w14:paraId="10F064DC" w14:textId="77777777" w:rsidTr="00470846">
        <w:trPr>
          <w:trHeight w:val="298"/>
        </w:trPr>
        <w:tc>
          <w:tcPr>
            <w:tcW w:w="2547" w:type="dxa"/>
          </w:tcPr>
          <w:p w14:paraId="01251D48" w14:textId="1000B4BE" w:rsidR="00703DBB" w:rsidRDefault="00703DBB">
            <w:r>
              <w:t>Øvrige funksjonærer</w:t>
            </w:r>
          </w:p>
        </w:tc>
        <w:tc>
          <w:tcPr>
            <w:tcW w:w="2409" w:type="dxa"/>
          </w:tcPr>
          <w:p w14:paraId="28885BCB" w14:textId="2D8D7F48" w:rsidR="00703DBB" w:rsidRDefault="004E5C37" w:rsidP="00E25863">
            <w:pPr>
              <w:jc w:val="center"/>
            </w:pPr>
            <w:r>
              <w:t>40%</w:t>
            </w:r>
          </w:p>
        </w:tc>
        <w:tc>
          <w:tcPr>
            <w:tcW w:w="2410" w:type="dxa"/>
          </w:tcPr>
          <w:p w14:paraId="07E0F94C" w14:textId="29A381CA" w:rsidR="00703DBB" w:rsidRDefault="004E5C37" w:rsidP="00E25863">
            <w:pPr>
              <w:jc w:val="center"/>
            </w:pPr>
            <w:r>
              <w:t>60 %</w:t>
            </w:r>
          </w:p>
        </w:tc>
        <w:tc>
          <w:tcPr>
            <w:tcW w:w="6805" w:type="dxa"/>
          </w:tcPr>
          <w:p w14:paraId="5CC89D8B" w14:textId="22C089E4" w:rsidR="00703DBB" w:rsidRDefault="004E5C37" w:rsidP="004E5C37">
            <w:pPr>
              <w:jc w:val="center"/>
            </w:pPr>
            <w:r>
              <w:t>90 %</w:t>
            </w:r>
          </w:p>
        </w:tc>
      </w:tr>
      <w:tr w:rsidR="00703DBB" w14:paraId="2D07319B" w14:textId="77777777" w:rsidTr="00634700">
        <w:trPr>
          <w:trHeight w:val="298"/>
        </w:trPr>
        <w:tc>
          <w:tcPr>
            <w:tcW w:w="2547" w:type="dxa"/>
          </w:tcPr>
          <w:p w14:paraId="715A156D" w14:textId="7C912FA2" w:rsidR="00703DBB" w:rsidRDefault="00703DBB">
            <w:r>
              <w:t xml:space="preserve">Yrkesarbeidere </w:t>
            </w:r>
          </w:p>
        </w:tc>
        <w:tc>
          <w:tcPr>
            <w:tcW w:w="2409" w:type="dxa"/>
          </w:tcPr>
          <w:p w14:paraId="694F1075" w14:textId="0404EFFA" w:rsidR="00703DBB" w:rsidRDefault="00E25863" w:rsidP="00E25863">
            <w:pPr>
              <w:jc w:val="center"/>
            </w:pPr>
            <w:r>
              <w:t>5,5 %</w:t>
            </w:r>
          </w:p>
        </w:tc>
        <w:tc>
          <w:tcPr>
            <w:tcW w:w="2410" w:type="dxa"/>
          </w:tcPr>
          <w:p w14:paraId="27F4D7B5" w14:textId="29B0F071" w:rsidR="00703DBB" w:rsidRDefault="00E25863" w:rsidP="00E25863">
            <w:pPr>
              <w:jc w:val="center"/>
            </w:pPr>
            <w:r>
              <w:t>94,5 %</w:t>
            </w:r>
          </w:p>
        </w:tc>
        <w:tc>
          <w:tcPr>
            <w:tcW w:w="6805" w:type="dxa"/>
          </w:tcPr>
          <w:p w14:paraId="7703FDD0" w14:textId="24F9FF18" w:rsidR="00703DBB" w:rsidRDefault="007E1397" w:rsidP="007E1397">
            <w:pPr>
              <w:jc w:val="center"/>
            </w:pPr>
            <w:r>
              <w:t>Tarifflønn</w:t>
            </w:r>
          </w:p>
        </w:tc>
      </w:tr>
      <w:tr w:rsidR="00703DBB" w14:paraId="7870CA6E" w14:textId="77777777" w:rsidTr="0005658A">
        <w:trPr>
          <w:trHeight w:val="298"/>
        </w:trPr>
        <w:tc>
          <w:tcPr>
            <w:tcW w:w="2547" w:type="dxa"/>
          </w:tcPr>
          <w:p w14:paraId="0806E4BF" w14:textId="54CB9508" w:rsidR="00703DBB" w:rsidRDefault="00703DBB">
            <w:r>
              <w:t>Lær</w:t>
            </w:r>
            <w:r w:rsidR="000065AD">
              <w:t>l</w:t>
            </w:r>
            <w:r>
              <w:t xml:space="preserve">inger </w:t>
            </w:r>
          </w:p>
        </w:tc>
        <w:tc>
          <w:tcPr>
            <w:tcW w:w="2409" w:type="dxa"/>
          </w:tcPr>
          <w:p w14:paraId="2337FD1F" w14:textId="3D1DB904" w:rsidR="00703DBB" w:rsidRDefault="00D641EC" w:rsidP="00D641EC">
            <w:pPr>
              <w:jc w:val="center"/>
            </w:pPr>
            <w:r>
              <w:t>8%</w:t>
            </w:r>
          </w:p>
        </w:tc>
        <w:tc>
          <w:tcPr>
            <w:tcW w:w="2410" w:type="dxa"/>
          </w:tcPr>
          <w:p w14:paraId="0B823A46" w14:textId="56B1FBAE" w:rsidR="00703DBB" w:rsidRDefault="00D641EC" w:rsidP="00D641EC">
            <w:pPr>
              <w:jc w:val="center"/>
            </w:pPr>
            <w:r>
              <w:t>82%</w:t>
            </w:r>
          </w:p>
        </w:tc>
        <w:tc>
          <w:tcPr>
            <w:tcW w:w="6805" w:type="dxa"/>
          </w:tcPr>
          <w:p w14:paraId="1E023C77" w14:textId="4F8BA3F2" w:rsidR="00703DBB" w:rsidRDefault="00D641EC" w:rsidP="00D641EC">
            <w:pPr>
              <w:jc w:val="center"/>
            </w:pPr>
            <w:r>
              <w:t>Tarifflønn</w:t>
            </w:r>
          </w:p>
        </w:tc>
      </w:tr>
    </w:tbl>
    <w:p w14:paraId="5E920A90" w14:textId="60071D9D" w:rsidR="0057276B" w:rsidRDefault="0057276B"/>
    <w:p w14:paraId="1D662CC9" w14:textId="77777777" w:rsidR="00941D83" w:rsidRPr="00941D83" w:rsidRDefault="00941D83" w:rsidP="00941D83">
      <w:pPr>
        <w:rPr>
          <w:b/>
          <w:bCs/>
          <w:u w:val="single"/>
        </w:rPr>
      </w:pPr>
      <w:r w:rsidRPr="00941D83">
        <w:rPr>
          <w:b/>
          <w:bCs/>
          <w:u w:val="single"/>
        </w:rPr>
        <w:t>Forklaring til tallgrunnlaget</w:t>
      </w:r>
    </w:p>
    <w:p w14:paraId="73D0CAE5" w14:textId="77777777" w:rsidR="00941D83" w:rsidRPr="00941D83" w:rsidRDefault="00941D83" w:rsidP="00941D83">
      <w:r w:rsidRPr="00941D83">
        <w:t xml:space="preserve">Lønnsberegningene er basert på ansattstatus per </w:t>
      </w:r>
      <w:r w:rsidRPr="00941D83">
        <w:rPr>
          <w:b/>
          <w:bCs/>
        </w:rPr>
        <w:t>31.12.2025</w:t>
      </w:r>
      <w:r w:rsidRPr="00941D83">
        <w:t xml:space="preserve"> samt fastlønn per samme dato. NCC Norge AS og NCC Industri Norge AS er tariffbundne virksomheter, der yrkesarbeidere og lærlinger er timelønnet i henhold til gjeldende tariffavtaler, mens funksjonærer avlønnes med fastlønn. Selskapet arbeider systematisk for å sikre rettferdige og konkurransedyktige lønnsforhold, og har et kontinuerlig </w:t>
      </w:r>
      <w:proofErr w:type="gramStart"/>
      <w:r w:rsidRPr="00941D83">
        <w:t>fokus</w:t>
      </w:r>
      <w:proofErr w:type="gramEnd"/>
      <w:r w:rsidRPr="00941D83">
        <w:t xml:space="preserve"> på å redusere eventuelle lønnsforskjeller mellom kjønnene. Det er verdt å merke seg at flertallet av selskapets kvinnelige ansatte er sysselsatt i administrative, ledende eller ingeniørfaglige stillinger, som normalt har et høyere lønnsnivå enn tariffregulerte yrkesfagstillinger.</w:t>
      </w:r>
    </w:p>
    <w:p w14:paraId="2C04B605" w14:textId="77777777" w:rsidR="00941D83" w:rsidRPr="00941D83" w:rsidRDefault="00941D83" w:rsidP="00941D83">
      <w:r w:rsidRPr="00941D83">
        <w:t xml:space="preserve">I 2025 ble det etablert et lokalt Tekna-lag i NCC Norge. Fra og med 2026 vil dette medføre at Tekna-organiserte ansatte omfattes av lønnsrevisjoner i tråd med </w:t>
      </w:r>
      <w:proofErr w:type="spellStart"/>
      <w:r w:rsidRPr="00941D83">
        <w:t>Teknas</w:t>
      </w:r>
      <w:proofErr w:type="spellEnd"/>
      <w:r w:rsidRPr="00941D83">
        <w:t xml:space="preserve"> sentrale retningslinjer.</w:t>
      </w:r>
    </w:p>
    <w:p w14:paraId="4BC796FC" w14:textId="77777777" w:rsidR="00941D83" w:rsidRPr="00941D83" w:rsidRDefault="00941D83" w:rsidP="00941D83">
      <w:r w:rsidRPr="00941D83">
        <w:t>Per 31.12.2025 er kvinneandelen i NCC Norge AS og NCC Industri Norge AS samlet 14,5</w:t>
      </w:r>
      <w:r w:rsidRPr="00941D83">
        <w:rPr>
          <w:rFonts w:ascii="Arial" w:hAnsi="Arial" w:cs="Arial"/>
        </w:rPr>
        <w:t> </w:t>
      </w:r>
      <w:r w:rsidRPr="00941D83">
        <w:t>%. Konsernledelsen har en kjønnsbalanse på 50/50, mens lokal divisjonsledelse per i dag består av kun mannlige ledere. Dette kan i stor grad forklares med at lederposisjoner i divisjonene historisk sett har vært besatt av menn, og at rekruttering til disse rollene ofte kommer fra interne lederlinjer. Samtidig observeres en positiv utvikling i kvinneandelen i mellomlederstillinger – som avdelingsledere, prosjektsjefer, prosjektledere og ressursledere – noe som viser at endringer er i gang.</w:t>
      </w:r>
    </w:p>
    <w:p w14:paraId="42F83217" w14:textId="77777777" w:rsidR="00941D83" w:rsidRPr="00941D83" w:rsidRDefault="00941D83" w:rsidP="00941D83">
      <w:r w:rsidRPr="00941D83">
        <w:lastRenderedPageBreak/>
        <w:t>Til sammenligning utgjør kvinner om lag 10</w:t>
      </w:r>
      <w:r w:rsidRPr="00941D83">
        <w:rPr>
          <w:rFonts w:ascii="Arial" w:hAnsi="Arial" w:cs="Arial"/>
        </w:rPr>
        <w:t> </w:t>
      </w:r>
      <w:r w:rsidRPr="00941D83">
        <w:t>% av arbeidsstyrken i den norske bygg- og anleggsbransjen, og rundt 3</w:t>
      </w:r>
      <w:r w:rsidRPr="00941D83">
        <w:rPr>
          <w:rFonts w:ascii="Arial" w:hAnsi="Arial" w:cs="Arial"/>
        </w:rPr>
        <w:t> </w:t>
      </w:r>
      <w:r w:rsidRPr="00941D83">
        <w:rPr>
          <w:b/>
          <w:bCs/>
        </w:rPr>
        <w:t>%</w:t>
      </w:r>
      <w:r w:rsidRPr="00941D83">
        <w:t xml:space="preserve"> blant fagarbeiderne, ifølge </w:t>
      </w:r>
      <w:proofErr w:type="spellStart"/>
      <w:r w:rsidRPr="00941D83">
        <w:rPr>
          <w:i/>
          <w:iCs/>
        </w:rPr>
        <w:t>BDOs</w:t>
      </w:r>
      <w:proofErr w:type="spellEnd"/>
      <w:r w:rsidRPr="00941D83">
        <w:rPr>
          <w:i/>
          <w:iCs/>
        </w:rPr>
        <w:t xml:space="preserve"> Bygg- og anleggsanalyse 2025</w:t>
      </w:r>
      <w:r w:rsidRPr="00941D83">
        <w:t>.</w:t>
      </w:r>
    </w:p>
    <w:p w14:paraId="46A66F73" w14:textId="77777777" w:rsidR="00941D83" w:rsidRPr="00941D83" w:rsidRDefault="00941D83" w:rsidP="00941D83">
      <w:r w:rsidRPr="00941D83">
        <w:t xml:space="preserve">NCC Norge arbeider målrettet med å øke kvinneandelen i selskapet. Rekrutteringsarbeidet har hatt særlig </w:t>
      </w:r>
      <w:proofErr w:type="gramStart"/>
      <w:r w:rsidRPr="00941D83">
        <w:t>fokus</w:t>
      </w:r>
      <w:proofErr w:type="gramEnd"/>
      <w:r w:rsidRPr="00941D83">
        <w:t xml:space="preserve"> på ingeniørstillinger og lærlinger, som en del av et langsiktig strategisk arbeid for å bidra til en mer mangfoldig og inkluderende bransje.</w:t>
      </w:r>
    </w:p>
    <w:p w14:paraId="7A0E7979" w14:textId="77777777" w:rsidR="00941D83" w:rsidRPr="00941D83" w:rsidRDefault="00000000" w:rsidP="00941D83">
      <w:r>
        <w:pict w14:anchorId="45E5D697">
          <v:rect id="_x0000_i1025" style="width:0;height:1.5pt" o:hralign="center" o:hrstd="t" o:hr="t" fillcolor="#a0a0a0" stroked="f"/>
        </w:pict>
      </w:r>
    </w:p>
    <w:p w14:paraId="185709FA" w14:textId="77777777" w:rsidR="00941D83" w:rsidRPr="00941D83" w:rsidRDefault="00941D83" w:rsidP="00941D83">
      <w:pPr>
        <w:rPr>
          <w:b/>
          <w:bCs/>
          <w:u w:val="single"/>
        </w:rPr>
      </w:pPr>
      <w:r w:rsidRPr="00941D83">
        <w:rPr>
          <w:b/>
          <w:bCs/>
          <w:u w:val="single"/>
        </w:rPr>
        <w:t>Foreldrepermisjon</w:t>
      </w:r>
    </w:p>
    <w:p w14:paraId="5E266867" w14:textId="6B1C9C45" w:rsidR="00941D83" w:rsidRDefault="00941D83" w:rsidP="00941D83">
      <w:r w:rsidRPr="00941D83">
        <w:t>I løpet av 2025 var 77 ansatte i foreldrepermisjon, hvorav 17 kvinner. Det totale uttaket utgjorde 5</w:t>
      </w:r>
      <w:r w:rsidRPr="00941D83">
        <w:rPr>
          <w:rFonts w:ascii="Arial" w:hAnsi="Arial" w:cs="Arial"/>
        </w:rPr>
        <w:t> </w:t>
      </w:r>
      <w:r w:rsidRPr="00941D83">
        <w:t>360 dager, fordelt på 3</w:t>
      </w:r>
      <w:r w:rsidRPr="00941D83">
        <w:rPr>
          <w:rFonts w:ascii="Arial" w:hAnsi="Arial" w:cs="Arial"/>
        </w:rPr>
        <w:t> </w:t>
      </w:r>
      <w:r w:rsidRPr="00941D83">
        <w:t>603 dager med 100</w:t>
      </w:r>
      <w:r w:rsidRPr="00941D83">
        <w:rPr>
          <w:rFonts w:ascii="Arial" w:hAnsi="Arial" w:cs="Arial"/>
        </w:rPr>
        <w:t> </w:t>
      </w:r>
      <w:r w:rsidRPr="00941D83">
        <w:t>% uttak og 1</w:t>
      </w:r>
      <w:r w:rsidRPr="00941D83">
        <w:rPr>
          <w:rFonts w:ascii="Arial" w:hAnsi="Arial" w:cs="Arial"/>
        </w:rPr>
        <w:t> </w:t>
      </w:r>
      <w:r w:rsidRPr="00941D83">
        <w:t>757 dager med 80</w:t>
      </w:r>
      <w:r w:rsidRPr="00941D83">
        <w:rPr>
          <w:rFonts w:ascii="Arial" w:hAnsi="Arial" w:cs="Arial"/>
        </w:rPr>
        <w:t> </w:t>
      </w:r>
      <w:r w:rsidRPr="00941D83">
        <w:t>% uttak</w:t>
      </w:r>
      <w:r>
        <w:t>.</w:t>
      </w:r>
    </w:p>
    <w:p w14:paraId="023E8C82" w14:textId="77777777" w:rsidR="00941D83" w:rsidRDefault="00941D83" w:rsidP="00941D83"/>
    <w:p w14:paraId="2382F1C7" w14:textId="77777777" w:rsidR="00941D83" w:rsidRPr="00941D83" w:rsidRDefault="00941D83" w:rsidP="00941D83"/>
    <w:p w14:paraId="389AB0EA" w14:textId="77777777" w:rsidR="00941D83" w:rsidRPr="000A75D1" w:rsidRDefault="00941D83"/>
    <w:sectPr w:rsidR="00941D83" w:rsidRPr="000A75D1" w:rsidSect="00D74B03">
      <w:footerReference w:type="even" r:id="rId11"/>
      <w:footerReference w:type="defaul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6299" w14:textId="77777777" w:rsidR="00D879DC" w:rsidRDefault="00D879DC" w:rsidP="007105AF">
      <w:pPr>
        <w:spacing w:after="0" w:line="240" w:lineRule="auto"/>
      </w:pPr>
      <w:r>
        <w:separator/>
      </w:r>
    </w:p>
  </w:endnote>
  <w:endnote w:type="continuationSeparator" w:id="0">
    <w:p w14:paraId="10390A02" w14:textId="77777777" w:rsidR="00D879DC" w:rsidRDefault="00D879DC" w:rsidP="0071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000" w14:textId="6A067477" w:rsidR="007105AF" w:rsidRDefault="007105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EDEEA" wp14:editId="67E9BF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17320" cy="357505"/>
              <wp:effectExtent l="0" t="0" r="11430" b="0"/>
              <wp:wrapNone/>
              <wp:docPr id="1488746605" name="Tekstboks 2" descr="NCC 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DE76C" w14:textId="0103F8F3" w:rsidR="007105AF" w:rsidRPr="007105AF" w:rsidRDefault="007105AF" w:rsidP="007105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5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NCC 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EDEE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NCC Company Internal" style="position:absolute;margin-left:0;margin-top:0;width:111.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" filled="f" stroked="f">
              <v:textbox style="mso-fit-shape-to-text:t" inset="20pt,0,0,15pt">
                <w:txbxContent>
                  <w:p w14:paraId="69DDE76C" w14:textId="0103F8F3" w:rsidR="007105AF" w:rsidRPr="007105AF" w:rsidRDefault="007105AF" w:rsidP="007105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5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NCC 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C826" w14:textId="66567B23" w:rsidR="007105AF" w:rsidRDefault="007105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BEEAC6" wp14:editId="7D0DD745">
              <wp:simplePos x="901700" y="6940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17320" cy="357505"/>
              <wp:effectExtent l="0" t="0" r="11430" b="0"/>
              <wp:wrapNone/>
              <wp:docPr id="829163727" name="Tekstboks 3" descr="NCC 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350AD" w14:textId="306AC335" w:rsidR="007105AF" w:rsidRPr="007105AF" w:rsidRDefault="007105AF" w:rsidP="007105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5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NCC 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EEAC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NCC Company Internal" style="position:absolute;margin-left:0;margin-top:0;width:111.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" filled="f" stroked="f">
              <v:textbox style="mso-fit-shape-to-text:t" inset="20pt,0,0,15pt">
                <w:txbxContent>
                  <w:p w14:paraId="2BF350AD" w14:textId="306AC335" w:rsidR="007105AF" w:rsidRPr="007105AF" w:rsidRDefault="007105AF" w:rsidP="007105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5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NCC 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339A" w14:textId="789358CD" w:rsidR="007105AF" w:rsidRDefault="007105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299F9" wp14:editId="45239F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17320" cy="357505"/>
              <wp:effectExtent l="0" t="0" r="11430" b="0"/>
              <wp:wrapNone/>
              <wp:docPr id="996376821" name="Tekstboks 1" descr="NCC 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5E98B" w14:textId="571D3E21" w:rsidR="007105AF" w:rsidRPr="007105AF" w:rsidRDefault="007105AF" w:rsidP="007105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5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NCC 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299F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NCC Company Internal" style="position:absolute;margin-left:0;margin-top:0;width:111.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" filled="f" stroked="f">
              <v:textbox style="mso-fit-shape-to-text:t" inset="20pt,0,0,15pt">
                <w:txbxContent>
                  <w:p w14:paraId="2A45E98B" w14:textId="571D3E21" w:rsidR="007105AF" w:rsidRPr="007105AF" w:rsidRDefault="007105AF" w:rsidP="007105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5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NCC 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7167" w14:textId="77777777" w:rsidR="00D879DC" w:rsidRDefault="00D879DC" w:rsidP="007105AF">
      <w:pPr>
        <w:spacing w:after="0" w:line="240" w:lineRule="auto"/>
      </w:pPr>
      <w:r>
        <w:separator/>
      </w:r>
    </w:p>
  </w:footnote>
  <w:footnote w:type="continuationSeparator" w:id="0">
    <w:p w14:paraId="6AC9D799" w14:textId="77777777" w:rsidR="00D879DC" w:rsidRDefault="00D879DC" w:rsidP="0071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002"/>
    <w:multiLevelType w:val="hybridMultilevel"/>
    <w:tmpl w:val="F5B4C1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8E"/>
    <w:multiLevelType w:val="hybridMultilevel"/>
    <w:tmpl w:val="A64C19C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0563B8"/>
    <w:multiLevelType w:val="hybridMultilevel"/>
    <w:tmpl w:val="E410E8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C56EF"/>
    <w:multiLevelType w:val="hybridMultilevel"/>
    <w:tmpl w:val="3F58796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325EE"/>
    <w:multiLevelType w:val="hybridMultilevel"/>
    <w:tmpl w:val="7E7A71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E51F7"/>
    <w:multiLevelType w:val="hybridMultilevel"/>
    <w:tmpl w:val="3CD07ED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16087F"/>
    <w:multiLevelType w:val="hybridMultilevel"/>
    <w:tmpl w:val="4308014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477C2"/>
    <w:multiLevelType w:val="hybridMultilevel"/>
    <w:tmpl w:val="663C68A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11377"/>
    <w:multiLevelType w:val="hybridMultilevel"/>
    <w:tmpl w:val="C9405950"/>
    <w:lvl w:ilvl="0" w:tplc="F730B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6C88"/>
    <w:multiLevelType w:val="hybridMultilevel"/>
    <w:tmpl w:val="E7648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74943"/>
    <w:multiLevelType w:val="hybridMultilevel"/>
    <w:tmpl w:val="8EB6677A"/>
    <w:lvl w:ilvl="0" w:tplc="229ABB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2A1A"/>
    <w:multiLevelType w:val="hybridMultilevel"/>
    <w:tmpl w:val="E9A8573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331D87"/>
    <w:multiLevelType w:val="hybridMultilevel"/>
    <w:tmpl w:val="2460E1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624CC"/>
    <w:multiLevelType w:val="hybridMultilevel"/>
    <w:tmpl w:val="4784EE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0F3B"/>
    <w:multiLevelType w:val="hybridMultilevel"/>
    <w:tmpl w:val="45486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F49DE"/>
    <w:multiLevelType w:val="hybridMultilevel"/>
    <w:tmpl w:val="577A46D2"/>
    <w:lvl w:ilvl="0" w:tplc="8F28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378E9"/>
    <w:multiLevelType w:val="hybridMultilevel"/>
    <w:tmpl w:val="068EED4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71641"/>
    <w:multiLevelType w:val="hybridMultilevel"/>
    <w:tmpl w:val="D7B4B5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09514">
    <w:abstractNumId w:val="0"/>
  </w:num>
  <w:num w:numId="2" w16cid:durableId="793523167">
    <w:abstractNumId w:val="4"/>
  </w:num>
  <w:num w:numId="3" w16cid:durableId="1091394018">
    <w:abstractNumId w:val="17"/>
  </w:num>
  <w:num w:numId="4" w16cid:durableId="901060765">
    <w:abstractNumId w:val="2"/>
  </w:num>
  <w:num w:numId="5" w16cid:durableId="1230774731">
    <w:abstractNumId w:val="12"/>
  </w:num>
  <w:num w:numId="6" w16cid:durableId="2083334025">
    <w:abstractNumId w:val="8"/>
  </w:num>
  <w:num w:numId="7" w16cid:durableId="166331617">
    <w:abstractNumId w:val="9"/>
  </w:num>
  <w:num w:numId="8" w16cid:durableId="274555505">
    <w:abstractNumId w:val="15"/>
  </w:num>
  <w:num w:numId="9" w16cid:durableId="692417207">
    <w:abstractNumId w:val="7"/>
  </w:num>
  <w:num w:numId="10" w16cid:durableId="1928464865">
    <w:abstractNumId w:val="13"/>
  </w:num>
  <w:num w:numId="11" w16cid:durableId="252712244">
    <w:abstractNumId w:val="3"/>
  </w:num>
  <w:num w:numId="12" w16cid:durableId="2067491736">
    <w:abstractNumId w:val="16"/>
  </w:num>
  <w:num w:numId="13" w16cid:durableId="1899121399">
    <w:abstractNumId w:val="6"/>
  </w:num>
  <w:num w:numId="14" w16cid:durableId="588274778">
    <w:abstractNumId w:val="14"/>
  </w:num>
  <w:num w:numId="15" w16cid:durableId="1333992203">
    <w:abstractNumId w:val="5"/>
  </w:num>
  <w:num w:numId="16" w16cid:durableId="1038579432">
    <w:abstractNumId w:val="11"/>
  </w:num>
  <w:num w:numId="17" w16cid:durableId="888228638">
    <w:abstractNumId w:val="10"/>
  </w:num>
  <w:num w:numId="18" w16cid:durableId="30770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03"/>
    <w:rsid w:val="000065AD"/>
    <w:rsid w:val="000369B5"/>
    <w:rsid w:val="000A23EE"/>
    <w:rsid w:val="000A75D1"/>
    <w:rsid w:val="000C7D7E"/>
    <w:rsid w:val="00102FCC"/>
    <w:rsid w:val="0010370D"/>
    <w:rsid w:val="00146327"/>
    <w:rsid w:val="001C62F4"/>
    <w:rsid w:val="001D1FF6"/>
    <w:rsid w:val="00207AE5"/>
    <w:rsid w:val="00234FF7"/>
    <w:rsid w:val="00260F7A"/>
    <w:rsid w:val="00282988"/>
    <w:rsid w:val="002862B7"/>
    <w:rsid w:val="002B0FB5"/>
    <w:rsid w:val="002C3D4B"/>
    <w:rsid w:val="002E256D"/>
    <w:rsid w:val="00331D1E"/>
    <w:rsid w:val="0035083E"/>
    <w:rsid w:val="003561A4"/>
    <w:rsid w:val="003B6117"/>
    <w:rsid w:val="004069F0"/>
    <w:rsid w:val="00437B57"/>
    <w:rsid w:val="004428C3"/>
    <w:rsid w:val="004632C5"/>
    <w:rsid w:val="004E5C37"/>
    <w:rsid w:val="00541852"/>
    <w:rsid w:val="0057276B"/>
    <w:rsid w:val="00577318"/>
    <w:rsid w:val="00592853"/>
    <w:rsid w:val="005B2C45"/>
    <w:rsid w:val="005C504C"/>
    <w:rsid w:val="006453CF"/>
    <w:rsid w:val="006672CF"/>
    <w:rsid w:val="006708FE"/>
    <w:rsid w:val="006F2BD2"/>
    <w:rsid w:val="00703DBB"/>
    <w:rsid w:val="00704C8C"/>
    <w:rsid w:val="007105AF"/>
    <w:rsid w:val="00721F0C"/>
    <w:rsid w:val="00723A40"/>
    <w:rsid w:val="00764DC4"/>
    <w:rsid w:val="007C603B"/>
    <w:rsid w:val="007E1397"/>
    <w:rsid w:val="0081729A"/>
    <w:rsid w:val="00817D30"/>
    <w:rsid w:val="0084385E"/>
    <w:rsid w:val="008462A4"/>
    <w:rsid w:val="00855374"/>
    <w:rsid w:val="008572FF"/>
    <w:rsid w:val="00862021"/>
    <w:rsid w:val="008D25EB"/>
    <w:rsid w:val="008F4A37"/>
    <w:rsid w:val="00900C8E"/>
    <w:rsid w:val="00905891"/>
    <w:rsid w:val="009103FD"/>
    <w:rsid w:val="00911077"/>
    <w:rsid w:val="00913466"/>
    <w:rsid w:val="00941D83"/>
    <w:rsid w:val="00985591"/>
    <w:rsid w:val="00986BC6"/>
    <w:rsid w:val="00A07B95"/>
    <w:rsid w:val="00A14E5B"/>
    <w:rsid w:val="00A213C7"/>
    <w:rsid w:val="00B21839"/>
    <w:rsid w:val="00B319B2"/>
    <w:rsid w:val="00B62397"/>
    <w:rsid w:val="00B90342"/>
    <w:rsid w:val="00BA4ACE"/>
    <w:rsid w:val="00BD10FA"/>
    <w:rsid w:val="00BD4495"/>
    <w:rsid w:val="00BF35C5"/>
    <w:rsid w:val="00C1082A"/>
    <w:rsid w:val="00C82E8A"/>
    <w:rsid w:val="00CA182A"/>
    <w:rsid w:val="00CA24CA"/>
    <w:rsid w:val="00CB15B2"/>
    <w:rsid w:val="00CC6E97"/>
    <w:rsid w:val="00CD3D87"/>
    <w:rsid w:val="00CE530F"/>
    <w:rsid w:val="00D13B47"/>
    <w:rsid w:val="00D641EC"/>
    <w:rsid w:val="00D74B03"/>
    <w:rsid w:val="00D879DC"/>
    <w:rsid w:val="00DF0753"/>
    <w:rsid w:val="00E03A9D"/>
    <w:rsid w:val="00E242D5"/>
    <w:rsid w:val="00E25863"/>
    <w:rsid w:val="00E566A4"/>
    <w:rsid w:val="00E72ACB"/>
    <w:rsid w:val="00E84282"/>
    <w:rsid w:val="00E92E54"/>
    <w:rsid w:val="00EF66BD"/>
    <w:rsid w:val="00F22504"/>
    <w:rsid w:val="00FA0480"/>
    <w:rsid w:val="00FC6A69"/>
    <w:rsid w:val="00FD2CC0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0B98"/>
  <w15:chartTrackingRefBased/>
  <w15:docId w15:val="{3CFE056E-93C3-4C69-B5FE-A850084E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09A283D6D324198CF0B4AE0B17C14" ma:contentTypeVersion="21" ma:contentTypeDescription="Opprett et nytt dokument." ma:contentTypeScope="" ma:versionID="a3747e2e3be52b10d51395cb50d504ab">
  <xsd:schema xmlns:xsd="http://www.w3.org/2001/XMLSchema" xmlns:xs="http://www.w3.org/2001/XMLSchema" xmlns:p="http://schemas.microsoft.com/office/2006/metadata/properties" xmlns:ns2="80bf4598-e837-4bcd-a93b-a07418a7003a" xmlns:ns3="6218d942-cb1d-4d47-a35b-0d8df125b6f1" targetNamespace="http://schemas.microsoft.com/office/2006/metadata/properties" ma:root="true" ma:fieldsID="705273c5fbce37d5a4b6cac1932bb65d" ns2:_="" ns3:_="">
    <xsd:import namespace="80bf4598-e837-4bcd-a93b-a07418a7003a"/>
    <xsd:import namespace="6218d942-cb1d-4d47-a35b-0d8df125b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  <xsd:element ref="ns2:b956074bb08f4bb7a9259ef28dfdf9a2" minOccurs="0"/>
                <xsd:element ref="ns3:SPFxSign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4598-e837-4bcd-a93b-a07418a70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b956074bb08f4bb7a9259ef28dfdf9a2" ma:index="24" nillable="true" ma:taxonomy="true" ma:internalName="b956074bb08f4bb7a9259ef28dfdf9a2" ma:taxonomyFieldName="Taggar" ma:displayName="Taggar" ma:default="" ma:fieldId="{b956074b-b08f-4bb7-a925-9ef28dfdf9a2}" ma:sspId="9414c113-725f-4a3a-ad32-da5dcbee5b29" ma:termSetId="aa83f873-ef83-403a-bd36-0bdd16ca3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d942-cb1d-4d47-a35b-0d8df125b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PFxSignStatus" ma:index="25" nillable="true" ma:displayName="Signing status" ma:internalName="SPFxSig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FxSignStatus xmlns="6218d942-cb1d-4d47-a35b-0d8df125b6f1" xsi:nil="true"/>
    <lcf76f155ced4ddcb4097134ff3c332f xmlns="80bf4598-e837-4bcd-a93b-a07418a7003a">
      <Terms xmlns="http://schemas.microsoft.com/office/infopath/2007/PartnerControls"/>
    </lcf76f155ced4ddcb4097134ff3c332f>
    <_Flow_SignoffStatus xmlns="80bf4598-e837-4bcd-a93b-a07418a7003a" xsi:nil="true"/>
    <b956074bb08f4bb7a9259ef28dfdf9a2 xmlns="80bf4598-e837-4bcd-a93b-a07418a7003a">
      <Terms xmlns="http://schemas.microsoft.com/office/infopath/2007/PartnerControls"/>
    </b956074bb08f4bb7a9259ef28dfdf9a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F984D-9C21-4396-85B0-DE8378E0B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f4598-e837-4bcd-a93b-a07418a7003a"/>
    <ds:schemaRef ds:uri="6218d942-cb1d-4d47-a35b-0d8df125b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D6A94-D797-4D97-BE54-251508C71E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12E12E-64A2-4519-BDA2-2C90056C6490}">
  <ds:schemaRefs>
    <ds:schemaRef ds:uri="http://schemas.microsoft.com/office/2006/metadata/properties"/>
    <ds:schemaRef ds:uri="http://schemas.microsoft.com/office/infopath/2007/PartnerControls"/>
    <ds:schemaRef ds:uri="6218d942-cb1d-4d47-a35b-0d8df125b6f1"/>
    <ds:schemaRef ds:uri="80bf4598-e837-4bcd-a93b-a07418a7003a"/>
  </ds:schemaRefs>
</ds:datastoreItem>
</file>

<file path=customXml/itemProps4.xml><?xml version="1.0" encoding="utf-8"?>
<ds:datastoreItem xmlns:ds="http://schemas.openxmlformats.org/officeDocument/2006/customXml" ds:itemID="{4BB04C38-9870-4894-B9D4-6783F0BAB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5</Pages>
  <Words>1248</Words>
  <Characters>7462</Characters>
  <Application>Microsoft Office Word</Application>
  <DocSecurity>0</DocSecurity>
  <Lines>384</Lines>
  <Paragraphs>139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Fredriksen Johanne</dc:creator>
  <cp:keywords/>
  <dc:description/>
  <cp:lastModifiedBy>Forsling Sara</cp:lastModifiedBy>
  <cp:revision>14</cp:revision>
  <cp:lastPrinted>2026-01-28T11:46:00Z</cp:lastPrinted>
  <dcterms:created xsi:type="dcterms:W3CDTF">2026-02-26T15:40:00Z</dcterms:created>
  <dcterms:modified xsi:type="dcterms:W3CDTF">2026-05-06T11:30:00Z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3b6380f5,58bc786d,316c08cf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NCC Company Internal</vt:lpwstr>
  </property>
  <property fmtid="{D5CDD505-2E9C-101B-9397-08002B2CF9AE}" pid="5" name="MSIP_Label_3b95238f-d41c-4987-8731-915711f57b47_Enabled">
    <vt:lpwstr>true</vt:lpwstr>
  </property>
  <property fmtid="{D5CDD505-2E9C-101B-9397-08002B2CF9AE}" pid="6" name="MSIP_Label_3b95238f-d41c-4987-8731-915711f57b47_SetDate">
    <vt:lpwstr>2025-03-25T18:35:28Z</vt:lpwstr>
  </property>
  <property fmtid="{D5CDD505-2E9C-101B-9397-08002B2CF9AE}" pid="7" name="MSIP_Label_3b95238f-d41c-4987-8731-915711f57b47_Method">
    <vt:lpwstr>Privileged</vt:lpwstr>
  </property>
  <property fmtid="{D5CDD505-2E9C-101B-9397-08002B2CF9AE}" pid="8" name="MSIP_Label_3b95238f-d41c-4987-8731-915711f57b47_Name">
    <vt:lpwstr>NCC Company internal #CI</vt:lpwstr>
  </property>
  <property fmtid="{D5CDD505-2E9C-101B-9397-08002B2CF9AE}" pid="9" name="MSIP_Label_3b95238f-d41c-4987-8731-915711f57b47_SiteId">
    <vt:lpwstr>d04499d5-2857-4e28-9177-6e949859db83</vt:lpwstr>
  </property>
  <property fmtid="{D5CDD505-2E9C-101B-9397-08002B2CF9AE}" pid="10" name="MSIP_Label_3b95238f-d41c-4987-8731-915711f57b47_ActionId">
    <vt:lpwstr>39776a5b-c483-4a5d-9f6a-693d9c18336e</vt:lpwstr>
  </property>
  <property fmtid="{D5CDD505-2E9C-101B-9397-08002B2CF9AE}" pid="11" name="MSIP_Label_3b95238f-d41c-4987-8731-915711f57b47_ContentBits">
    <vt:lpwstr>2</vt:lpwstr>
  </property>
  <property fmtid="{D5CDD505-2E9C-101B-9397-08002B2CF9AE}" pid="12" name="MSIP_Label_3b95238f-d41c-4987-8731-915711f57b47_Tag">
    <vt:lpwstr>10, 0, 1, 1</vt:lpwstr>
  </property>
  <property fmtid="{D5CDD505-2E9C-101B-9397-08002B2CF9AE}" pid="13" name="ContentTypeId">
    <vt:lpwstr>0x010100B2B09A283D6D324198CF0B4AE0B17C14</vt:lpwstr>
  </property>
</Properties>
</file>